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6E41A" w14:textId="77777777" w:rsidR="00FC2A97" w:rsidRPr="00FC2A97" w:rsidRDefault="00FC2A97" w:rsidP="00FC2A97">
      <w:pPr>
        <w:jc w:val="center"/>
        <w:rPr>
          <w:b/>
          <w:sz w:val="28"/>
          <w:szCs w:val="28"/>
        </w:rPr>
      </w:pPr>
      <w:r w:rsidRPr="00FC2A97">
        <w:rPr>
          <w:b/>
          <w:sz w:val="28"/>
          <w:szCs w:val="28"/>
        </w:rPr>
        <w:t>THE EFFECT OF DEBT POLICY ON COMPANY VALUE IN THE PULP AND PAPER SUB SECTOR</w:t>
      </w:r>
    </w:p>
    <w:p w14:paraId="140EEA29" w14:textId="77777777" w:rsidR="00FC2A97" w:rsidRDefault="00FC2A97" w:rsidP="00FC2A97">
      <w:pPr>
        <w:jc w:val="center"/>
        <w:rPr>
          <w:b/>
          <w:sz w:val="28"/>
          <w:szCs w:val="28"/>
        </w:rPr>
      </w:pPr>
      <w:r w:rsidRPr="00FC2A97">
        <w:rPr>
          <w:b/>
          <w:sz w:val="28"/>
          <w:szCs w:val="28"/>
        </w:rPr>
        <w:t>LISTED ON BEI</w:t>
      </w:r>
    </w:p>
    <w:p w14:paraId="76557905" w14:textId="1B39D0C8" w:rsidR="00900B11" w:rsidRPr="00B459B2" w:rsidRDefault="00B459B2" w:rsidP="00FC2A97">
      <w:pPr>
        <w:jc w:val="center"/>
        <w:rPr>
          <w:b/>
          <w:sz w:val="32"/>
          <w:szCs w:val="32"/>
        </w:rPr>
      </w:pPr>
      <w:r>
        <w:rPr>
          <w:b/>
          <w:sz w:val="32"/>
          <w:szCs w:val="32"/>
        </w:rPr>
        <w:t xml:space="preserve"> </w:t>
      </w:r>
    </w:p>
    <w:p w14:paraId="43763891" w14:textId="03336DDE" w:rsidR="00F234AD" w:rsidRPr="004815CC" w:rsidRDefault="00D158FE" w:rsidP="00034308">
      <w:pPr>
        <w:ind w:left="284" w:hanging="284"/>
        <w:jc w:val="center"/>
        <w:rPr>
          <w:b/>
          <w:szCs w:val="24"/>
        </w:rPr>
      </w:pPr>
      <w:r>
        <w:rPr>
          <w:b/>
          <w:szCs w:val="24"/>
        </w:rPr>
        <w:t>Alfin Akuba</w:t>
      </w:r>
    </w:p>
    <w:p w14:paraId="69E850A3" w14:textId="77777777" w:rsidR="0061204D" w:rsidRDefault="0061204D" w:rsidP="00C83CD2">
      <w:pPr>
        <w:spacing w:before="120"/>
        <w:jc w:val="center"/>
        <w:rPr>
          <w:sz w:val="20"/>
          <w:szCs w:val="22"/>
        </w:rPr>
      </w:pPr>
      <w:r w:rsidRPr="0061204D">
        <w:rPr>
          <w:sz w:val="20"/>
          <w:szCs w:val="22"/>
        </w:rPr>
        <w:t>Lecturer, Management, Ichsan University Gorontalo, Gorontalo</w:t>
      </w:r>
    </w:p>
    <w:p w14:paraId="12659071" w14:textId="106A733B" w:rsidR="00F234AD" w:rsidRPr="00B459B2" w:rsidRDefault="00F234AD" w:rsidP="00C83CD2">
      <w:pPr>
        <w:spacing w:before="120"/>
        <w:jc w:val="center"/>
        <w:rPr>
          <w:sz w:val="20"/>
          <w:szCs w:val="22"/>
        </w:rPr>
      </w:pPr>
      <w:r w:rsidRPr="004815CC">
        <w:rPr>
          <w:sz w:val="20"/>
          <w:szCs w:val="22"/>
          <w:lang w:val="id-ID"/>
        </w:rPr>
        <w:t xml:space="preserve">Email: </w:t>
      </w:r>
      <w:r w:rsidR="00D158FE">
        <w:rPr>
          <w:sz w:val="20"/>
          <w:szCs w:val="22"/>
        </w:rPr>
        <w:t>alfinakuba</w:t>
      </w:r>
      <w:r w:rsidR="00B459B2">
        <w:rPr>
          <w:sz w:val="20"/>
          <w:szCs w:val="22"/>
        </w:rPr>
        <w:t>92@gmail.com</w:t>
      </w:r>
    </w:p>
    <w:p w14:paraId="205F1419" w14:textId="34990302" w:rsidR="00B459B2" w:rsidRDefault="00B459B2" w:rsidP="00BD71AF">
      <w:pPr>
        <w:pStyle w:val="Subtitle"/>
        <w:rPr>
          <w:iCs/>
          <w:lang w:val="en-US"/>
        </w:rPr>
      </w:pPr>
      <w:r>
        <w:rPr>
          <w:iCs/>
          <w:lang w:val="en-US"/>
        </w:rPr>
        <w:t>Abstrak</w:t>
      </w:r>
    </w:p>
    <w:p w14:paraId="63662FA8" w14:textId="0A0867E6" w:rsidR="00B459B2" w:rsidRDefault="00D158FE" w:rsidP="00D158FE">
      <w:pPr>
        <w:pStyle w:val="NoSpacing"/>
        <w:ind w:firstLine="567"/>
        <w:rPr>
          <w:rFonts w:ascii="Times New Roman" w:hAnsi="Times New Roman"/>
          <w:sz w:val="20"/>
          <w:szCs w:val="20"/>
        </w:rPr>
      </w:pPr>
      <w:r w:rsidRPr="005E1CC5">
        <w:rPr>
          <w:rFonts w:ascii="Times New Roman" w:hAnsi="Times New Roman"/>
          <w:sz w:val="20"/>
          <w:szCs w:val="20"/>
        </w:rPr>
        <w:t>Penelitian</w:t>
      </w:r>
      <w:r w:rsidRPr="005E1CC5">
        <w:rPr>
          <w:rFonts w:ascii="Times New Roman" w:hAnsi="Times New Roman"/>
          <w:sz w:val="20"/>
          <w:szCs w:val="20"/>
          <w:lang w:val="id-ID"/>
        </w:rPr>
        <w:t xml:space="preserve"> </w:t>
      </w:r>
      <w:r w:rsidRPr="005E1CC5">
        <w:rPr>
          <w:rFonts w:ascii="Times New Roman" w:hAnsi="Times New Roman"/>
          <w:sz w:val="20"/>
          <w:szCs w:val="20"/>
        </w:rPr>
        <w:t>ini</w:t>
      </w:r>
      <w:r w:rsidRPr="005E1CC5">
        <w:rPr>
          <w:rFonts w:ascii="Times New Roman" w:hAnsi="Times New Roman"/>
          <w:sz w:val="20"/>
          <w:szCs w:val="20"/>
          <w:lang w:val="id-ID"/>
        </w:rPr>
        <w:t xml:space="preserve"> </w:t>
      </w:r>
      <w:r w:rsidRPr="005E1CC5">
        <w:rPr>
          <w:rFonts w:ascii="Times New Roman" w:hAnsi="Times New Roman"/>
          <w:sz w:val="20"/>
          <w:szCs w:val="20"/>
        </w:rPr>
        <w:t>bertujuan</w:t>
      </w:r>
      <w:r w:rsidRPr="005E1CC5">
        <w:rPr>
          <w:rFonts w:ascii="Times New Roman" w:hAnsi="Times New Roman"/>
          <w:sz w:val="20"/>
          <w:szCs w:val="20"/>
          <w:lang w:val="id-ID"/>
        </w:rPr>
        <w:t xml:space="preserve"> </w:t>
      </w:r>
      <w:r w:rsidRPr="005E1CC5">
        <w:rPr>
          <w:rFonts w:ascii="Times New Roman" w:hAnsi="Times New Roman"/>
          <w:sz w:val="20"/>
          <w:szCs w:val="20"/>
        </w:rPr>
        <w:t>untuk</w:t>
      </w:r>
      <w:r w:rsidRPr="005E1CC5">
        <w:rPr>
          <w:rFonts w:ascii="Times New Roman" w:hAnsi="Times New Roman"/>
          <w:sz w:val="20"/>
          <w:szCs w:val="20"/>
          <w:lang w:val="id-ID"/>
        </w:rPr>
        <w:t xml:space="preserve"> </w:t>
      </w:r>
      <w:r w:rsidRPr="005E1CC5">
        <w:rPr>
          <w:rFonts w:ascii="Times New Roman" w:hAnsi="Times New Roman"/>
          <w:sz w:val="20"/>
          <w:szCs w:val="20"/>
        </w:rPr>
        <w:t>mengetahui</w:t>
      </w:r>
      <w:r>
        <w:rPr>
          <w:rFonts w:ascii="Times New Roman" w:hAnsi="Times New Roman"/>
          <w:sz w:val="20"/>
          <w:szCs w:val="20"/>
          <w:lang w:val="id-ID"/>
        </w:rPr>
        <w:t xml:space="preserve"> dan </w:t>
      </w:r>
      <w:r w:rsidRPr="005E1CC5">
        <w:rPr>
          <w:rFonts w:ascii="Times New Roman" w:hAnsi="Times New Roman"/>
          <w:sz w:val="20"/>
          <w:szCs w:val="20"/>
        </w:rPr>
        <w:t>menganalisis</w:t>
      </w:r>
      <w:r w:rsidRPr="005E1CC5">
        <w:rPr>
          <w:rFonts w:ascii="Times New Roman" w:hAnsi="Times New Roman"/>
          <w:sz w:val="20"/>
          <w:szCs w:val="20"/>
          <w:lang w:val="id-ID"/>
        </w:rPr>
        <w:t xml:space="preserve"> </w:t>
      </w:r>
      <w:r w:rsidRPr="005E1CC5">
        <w:rPr>
          <w:rFonts w:ascii="Times New Roman" w:hAnsi="Times New Roman"/>
          <w:sz w:val="20"/>
          <w:szCs w:val="20"/>
          <w:lang w:val="sv-SE"/>
        </w:rPr>
        <w:t xml:space="preserve">seberapa besar </w:t>
      </w:r>
      <w:r w:rsidRPr="005E1CC5">
        <w:rPr>
          <w:rFonts w:ascii="Times New Roman" w:hAnsi="Times New Roman"/>
          <w:sz w:val="20"/>
          <w:szCs w:val="20"/>
        </w:rPr>
        <w:t>pengaruh</w:t>
      </w:r>
      <w:r>
        <w:rPr>
          <w:rFonts w:ascii="Times New Roman" w:hAnsi="Times New Roman"/>
          <w:sz w:val="20"/>
          <w:szCs w:val="20"/>
        </w:rPr>
        <w:t xml:space="preserve"> Kebijakan Hutang</w:t>
      </w:r>
      <w:r w:rsidRPr="00360888">
        <w:rPr>
          <w:rFonts w:ascii="Times New Roman" w:hAnsi="Times New Roman"/>
          <w:i/>
          <w:sz w:val="20"/>
          <w:szCs w:val="20"/>
        </w:rPr>
        <w:t xml:space="preserve"> </w:t>
      </w:r>
      <w:r>
        <w:rPr>
          <w:rFonts w:ascii="Times New Roman" w:hAnsi="Times New Roman"/>
          <w:sz w:val="20"/>
          <w:szCs w:val="20"/>
        </w:rPr>
        <w:t>(X</w:t>
      </w:r>
      <w:r w:rsidRPr="00360888">
        <w:rPr>
          <w:rFonts w:ascii="Times New Roman" w:hAnsi="Times New Roman"/>
          <w:sz w:val="20"/>
          <w:szCs w:val="20"/>
        </w:rPr>
        <w:t xml:space="preserve">) </w:t>
      </w:r>
      <w:r>
        <w:rPr>
          <w:rFonts w:ascii="Times New Roman" w:hAnsi="Times New Roman"/>
          <w:sz w:val="20"/>
          <w:szCs w:val="20"/>
        </w:rPr>
        <w:t xml:space="preserve">secara </w:t>
      </w:r>
      <w:r w:rsidRPr="00924B34">
        <w:rPr>
          <w:rFonts w:ascii="Times New Roman" w:hAnsi="Times New Roman"/>
          <w:i/>
          <w:sz w:val="20"/>
          <w:szCs w:val="20"/>
        </w:rPr>
        <w:t>parsial</w:t>
      </w:r>
      <w:r>
        <w:rPr>
          <w:rFonts w:ascii="Times New Roman" w:hAnsi="Times New Roman"/>
          <w:sz w:val="20"/>
          <w:szCs w:val="20"/>
        </w:rPr>
        <w:t xml:space="preserve"> </w:t>
      </w:r>
      <w:r w:rsidRPr="005E1CC5">
        <w:rPr>
          <w:rFonts w:ascii="Times New Roman" w:hAnsi="Times New Roman"/>
          <w:sz w:val="20"/>
          <w:szCs w:val="20"/>
        </w:rPr>
        <w:t>terhadap</w:t>
      </w:r>
      <w:r>
        <w:rPr>
          <w:rFonts w:ascii="Times New Roman" w:hAnsi="Times New Roman"/>
          <w:sz w:val="20"/>
          <w:szCs w:val="20"/>
        </w:rPr>
        <w:t xml:space="preserve"> Nilai Perusahaan (Y)</w:t>
      </w:r>
      <w:r w:rsidRPr="005E1CC5">
        <w:rPr>
          <w:rFonts w:ascii="Times New Roman" w:hAnsi="Times New Roman"/>
          <w:sz w:val="20"/>
          <w:szCs w:val="20"/>
        </w:rPr>
        <w:t>.</w:t>
      </w:r>
      <w:r>
        <w:rPr>
          <w:rFonts w:ascii="Times New Roman" w:hAnsi="Times New Roman"/>
          <w:sz w:val="20"/>
          <w:szCs w:val="20"/>
        </w:rPr>
        <w:t xml:space="preserve"> </w:t>
      </w:r>
      <w:r w:rsidRPr="005E1CC5">
        <w:rPr>
          <w:rFonts w:ascii="Times New Roman" w:hAnsi="Times New Roman"/>
          <w:sz w:val="20"/>
          <w:szCs w:val="20"/>
          <w:lang w:val="pt-BR"/>
        </w:rPr>
        <w:t>Penelitian adalah</w:t>
      </w:r>
      <w:r w:rsidRPr="005E1CC5">
        <w:rPr>
          <w:rFonts w:ascii="Times New Roman" w:hAnsi="Times New Roman"/>
          <w:sz w:val="20"/>
          <w:szCs w:val="20"/>
          <w:lang w:val="id-ID"/>
        </w:rPr>
        <w:t xml:space="preserve"> </w:t>
      </w:r>
      <w:r w:rsidRPr="005E1CC5">
        <w:rPr>
          <w:rFonts w:ascii="Times New Roman" w:hAnsi="Times New Roman"/>
          <w:sz w:val="20"/>
          <w:szCs w:val="20"/>
          <w:lang w:val="pt-BR"/>
        </w:rPr>
        <w:t xml:space="preserve">penelitian kuantitatif, dengan </w:t>
      </w:r>
      <w:r w:rsidRPr="005E1CC5">
        <w:rPr>
          <w:rFonts w:ascii="Times New Roman" w:hAnsi="Times New Roman"/>
          <w:sz w:val="20"/>
          <w:szCs w:val="20"/>
        </w:rPr>
        <w:t>menggunakan</w:t>
      </w:r>
      <w:r w:rsidRPr="005E1CC5">
        <w:rPr>
          <w:rFonts w:ascii="Times New Roman" w:hAnsi="Times New Roman"/>
          <w:sz w:val="20"/>
          <w:szCs w:val="20"/>
          <w:lang w:val="id-ID"/>
        </w:rPr>
        <w:t xml:space="preserve"> </w:t>
      </w:r>
      <w:r w:rsidRPr="005E1CC5">
        <w:rPr>
          <w:rFonts w:ascii="Times New Roman" w:hAnsi="Times New Roman"/>
          <w:sz w:val="20"/>
          <w:szCs w:val="20"/>
        </w:rPr>
        <w:t>analisis</w:t>
      </w:r>
      <w:r w:rsidRPr="005E1CC5">
        <w:rPr>
          <w:rFonts w:ascii="Times New Roman" w:hAnsi="Times New Roman"/>
          <w:sz w:val="20"/>
          <w:szCs w:val="20"/>
          <w:lang w:val="id-ID"/>
        </w:rPr>
        <w:t xml:space="preserve"> </w:t>
      </w:r>
      <w:r w:rsidRPr="005E1CC5">
        <w:rPr>
          <w:rFonts w:ascii="Times New Roman" w:hAnsi="Times New Roman"/>
          <w:sz w:val="20"/>
          <w:szCs w:val="20"/>
        </w:rPr>
        <w:t>rasio</w:t>
      </w:r>
      <w:r w:rsidRPr="005E1CC5">
        <w:rPr>
          <w:rFonts w:ascii="Times New Roman" w:hAnsi="Times New Roman"/>
          <w:sz w:val="20"/>
          <w:szCs w:val="20"/>
          <w:lang w:val="pt-BR"/>
        </w:rPr>
        <w:t>.</w:t>
      </w:r>
      <w:r w:rsidRPr="005E1CC5">
        <w:rPr>
          <w:rFonts w:ascii="Times New Roman" w:hAnsi="Times New Roman"/>
          <w:sz w:val="20"/>
          <w:szCs w:val="20"/>
          <w:lang w:val="id-ID"/>
        </w:rPr>
        <w:t xml:space="preserve"> </w:t>
      </w:r>
      <w:r w:rsidRPr="005E1CC5">
        <w:rPr>
          <w:rFonts w:ascii="Times New Roman" w:hAnsi="Times New Roman"/>
          <w:sz w:val="20"/>
          <w:szCs w:val="20"/>
          <w:lang w:val="pt-BR"/>
        </w:rPr>
        <w:t xml:space="preserve">Metode analisis menggunakan </w:t>
      </w:r>
      <w:r>
        <w:rPr>
          <w:rFonts w:ascii="Times New Roman" w:hAnsi="Times New Roman"/>
          <w:sz w:val="20"/>
          <w:szCs w:val="20"/>
          <w:lang w:val="pt-BR"/>
        </w:rPr>
        <w:t>regresi linier sederhana.</w:t>
      </w:r>
      <w:r w:rsidRPr="005E1CC5">
        <w:rPr>
          <w:rFonts w:ascii="Times New Roman" w:hAnsi="Times New Roman"/>
          <w:sz w:val="20"/>
          <w:szCs w:val="20"/>
          <w:lang w:val="pt-BR"/>
        </w:rPr>
        <w:t xml:space="preserve"> </w:t>
      </w:r>
      <w:r>
        <w:rPr>
          <w:rFonts w:ascii="Times New Roman" w:hAnsi="Times New Roman"/>
          <w:sz w:val="20"/>
          <w:szCs w:val="20"/>
        </w:rPr>
        <w:t>H</w:t>
      </w:r>
      <w:r w:rsidRPr="005E1CC5">
        <w:rPr>
          <w:rFonts w:ascii="Times New Roman" w:hAnsi="Times New Roman"/>
          <w:sz w:val="20"/>
          <w:szCs w:val="20"/>
        </w:rPr>
        <w:t>asil</w:t>
      </w:r>
      <w:r w:rsidRPr="005E1CC5">
        <w:rPr>
          <w:rFonts w:ascii="Times New Roman" w:hAnsi="Times New Roman"/>
          <w:sz w:val="20"/>
          <w:szCs w:val="20"/>
          <w:lang w:val="id-ID"/>
        </w:rPr>
        <w:t xml:space="preserve"> </w:t>
      </w:r>
      <w:r w:rsidRPr="005E1CC5">
        <w:rPr>
          <w:rFonts w:ascii="Times New Roman" w:hAnsi="Times New Roman"/>
          <w:sz w:val="20"/>
          <w:szCs w:val="20"/>
        </w:rPr>
        <w:t>penelitian</w:t>
      </w:r>
      <w:r w:rsidRPr="005E1CC5">
        <w:rPr>
          <w:rFonts w:ascii="Times New Roman" w:hAnsi="Times New Roman"/>
          <w:sz w:val="20"/>
          <w:szCs w:val="20"/>
          <w:lang w:val="id-ID"/>
        </w:rPr>
        <w:t xml:space="preserve"> </w:t>
      </w:r>
      <w:r w:rsidRPr="005E1CC5">
        <w:rPr>
          <w:rFonts w:ascii="Times New Roman" w:hAnsi="Times New Roman"/>
          <w:sz w:val="20"/>
          <w:szCs w:val="20"/>
        </w:rPr>
        <w:t>menunjukkan</w:t>
      </w:r>
      <w:r w:rsidRPr="005E1CC5">
        <w:rPr>
          <w:rFonts w:ascii="Times New Roman" w:hAnsi="Times New Roman"/>
          <w:sz w:val="20"/>
          <w:szCs w:val="20"/>
          <w:lang w:val="id-ID"/>
        </w:rPr>
        <w:t xml:space="preserve"> </w:t>
      </w:r>
      <w:r w:rsidRPr="005E1CC5">
        <w:rPr>
          <w:rFonts w:ascii="Times New Roman" w:hAnsi="Times New Roman"/>
          <w:sz w:val="20"/>
          <w:szCs w:val="20"/>
        </w:rPr>
        <w:t>bahwa</w:t>
      </w:r>
      <w:r w:rsidRPr="005E1CC5">
        <w:rPr>
          <w:rFonts w:ascii="Times New Roman" w:hAnsi="Times New Roman"/>
          <w:sz w:val="20"/>
          <w:szCs w:val="20"/>
          <w:lang w:val="id-ID"/>
        </w:rPr>
        <w:t xml:space="preserve"> </w:t>
      </w:r>
      <w:r>
        <w:rPr>
          <w:rFonts w:ascii="Times New Roman" w:hAnsi="Times New Roman"/>
          <w:sz w:val="20"/>
          <w:szCs w:val="20"/>
        </w:rPr>
        <w:t>Kebijakan Hutang</w:t>
      </w:r>
      <w:r w:rsidRPr="00360888">
        <w:rPr>
          <w:rFonts w:ascii="Times New Roman" w:hAnsi="Times New Roman"/>
          <w:i/>
          <w:sz w:val="20"/>
          <w:szCs w:val="20"/>
        </w:rPr>
        <w:t xml:space="preserve"> </w:t>
      </w:r>
      <w:r>
        <w:rPr>
          <w:rFonts w:ascii="Times New Roman" w:hAnsi="Times New Roman"/>
          <w:sz w:val="20"/>
          <w:szCs w:val="20"/>
        </w:rPr>
        <w:t>(X</w:t>
      </w:r>
      <w:r w:rsidRPr="00360888">
        <w:rPr>
          <w:rFonts w:ascii="Times New Roman" w:hAnsi="Times New Roman"/>
          <w:sz w:val="20"/>
          <w:szCs w:val="20"/>
        </w:rPr>
        <w:t>))</w:t>
      </w:r>
      <w:r>
        <w:rPr>
          <w:rFonts w:ascii="Times New Roman" w:hAnsi="Times New Roman"/>
          <w:sz w:val="20"/>
          <w:szCs w:val="20"/>
        </w:rPr>
        <w:t xml:space="preserve"> </w:t>
      </w:r>
      <w:r w:rsidRPr="005E1CC5">
        <w:rPr>
          <w:rFonts w:ascii="Times New Roman" w:hAnsi="Times New Roman"/>
          <w:sz w:val="20"/>
          <w:szCs w:val="20"/>
        </w:rPr>
        <w:t>secara</w:t>
      </w:r>
      <w:r w:rsidRPr="005E1CC5">
        <w:rPr>
          <w:rFonts w:ascii="Times New Roman" w:hAnsi="Times New Roman"/>
          <w:sz w:val="20"/>
          <w:szCs w:val="20"/>
          <w:lang w:val="id-ID"/>
        </w:rPr>
        <w:t xml:space="preserve"> </w:t>
      </w:r>
      <w:r>
        <w:rPr>
          <w:rFonts w:ascii="Times New Roman" w:hAnsi="Times New Roman"/>
          <w:i/>
          <w:sz w:val="20"/>
          <w:szCs w:val="20"/>
        </w:rPr>
        <w:t>parsial</w:t>
      </w:r>
      <w:r>
        <w:rPr>
          <w:rFonts w:ascii="Times New Roman" w:hAnsi="Times New Roman"/>
          <w:sz w:val="20"/>
          <w:szCs w:val="20"/>
        </w:rPr>
        <w:t xml:space="preserve"> tidak</w:t>
      </w:r>
      <w:r w:rsidRPr="005E1CC5">
        <w:rPr>
          <w:rFonts w:ascii="Times New Roman" w:hAnsi="Times New Roman"/>
          <w:i/>
          <w:sz w:val="20"/>
          <w:szCs w:val="20"/>
          <w:lang w:val="id-ID"/>
        </w:rPr>
        <w:t xml:space="preserve"> </w:t>
      </w:r>
      <w:r w:rsidRPr="005E1CC5">
        <w:rPr>
          <w:rFonts w:ascii="Times New Roman" w:hAnsi="Times New Roman"/>
          <w:sz w:val="20"/>
          <w:szCs w:val="20"/>
        </w:rPr>
        <w:t>berpengaruh</w:t>
      </w:r>
      <w:r>
        <w:rPr>
          <w:rFonts w:ascii="Times New Roman" w:hAnsi="Times New Roman"/>
          <w:sz w:val="20"/>
          <w:szCs w:val="20"/>
        </w:rPr>
        <w:t xml:space="preserve"> signifikan</w:t>
      </w:r>
      <w:r w:rsidRPr="005E1CC5">
        <w:rPr>
          <w:rFonts w:ascii="Times New Roman" w:hAnsi="Times New Roman"/>
          <w:sz w:val="20"/>
          <w:szCs w:val="20"/>
          <w:lang w:val="id-ID"/>
        </w:rPr>
        <w:t xml:space="preserve"> </w:t>
      </w:r>
      <w:r w:rsidRPr="005E1CC5">
        <w:rPr>
          <w:rFonts w:ascii="Times New Roman" w:hAnsi="Times New Roman"/>
          <w:sz w:val="20"/>
          <w:szCs w:val="20"/>
        </w:rPr>
        <w:t>terhadap</w:t>
      </w:r>
      <w:r w:rsidRPr="005E1CC5">
        <w:rPr>
          <w:rFonts w:ascii="Times New Roman" w:hAnsi="Times New Roman"/>
          <w:sz w:val="20"/>
          <w:szCs w:val="20"/>
          <w:lang w:val="id-ID"/>
        </w:rPr>
        <w:t xml:space="preserve"> </w:t>
      </w:r>
      <w:r>
        <w:rPr>
          <w:rFonts w:ascii="Times New Roman" w:hAnsi="Times New Roman"/>
          <w:sz w:val="20"/>
          <w:szCs w:val="20"/>
        </w:rPr>
        <w:t xml:space="preserve">Nilai Perusahaan (Y) pada sub </w:t>
      </w:r>
      <w:r w:rsidRPr="00B70F3C">
        <w:rPr>
          <w:rFonts w:ascii="Times New Roman" w:hAnsi="Times New Roman"/>
          <w:sz w:val="20"/>
          <w:szCs w:val="20"/>
        </w:rPr>
        <w:t xml:space="preserve">sektor </w:t>
      </w:r>
      <w:r>
        <w:rPr>
          <w:rFonts w:ascii="Times New Roman" w:hAnsi="Times New Roman"/>
          <w:sz w:val="20"/>
          <w:szCs w:val="20"/>
        </w:rPr>
        <w:t xml:space="preserve">Pulp dan Paper yang </w:t>
      </w:r>
      <w:r w:rsidRPr="00C35636">
        <w:rPr>
          <w:rFonts w:ascii="Times New Roman" w:hAnsi="Times New Roman"/>
          <w:i/>
          <w:sz w:val="20"/>
          <w:szCs w:val="20"/>
        </w:rPr>
        <w:t>Go Public</w:t>
      </w:r>
      <w:r>
        <w:rPr>
          <w:rFonts w:ascii="Times New Roman" w:hAnsi="Times New Roman"/>
          <w:sz w:val="20"/>
          <w:szCs w:val="20"/>
        </w:rPr>
        <w:t xml:space="preserve"> di Bursa Efek Indonesia</w:t>
      </w:r>
      <w:r w:rsidRPr="005E1CC5">
        <w:rPr>
          <w:rFonts w:ascii="Times New Roman" w:hAnsi="Times New Roman"/>
          <w:sz w:val="20"/>
          <w:szCs w:val="20"/>
          <w:lang w:val="id-ID"/>
        </w:rPr>
        <w:t xml:space="preserve"> </w:t>
      </w:r>
      <w:r w:rsidRPr="005E1CC5">
        <w:rPr>
          <w:rFonts w:ascii="Times New Roman" w:hAnsi="Times New Roman"/>
          <w:sz w:val="20"/>
          <w:szCs w:val="20"/>
        </w:rPr>
        <w:t>sebesar 0,</w:t>
      </w:r>
      <w:r>
        <w:rPr>
          <w:rFonts w:ascii="Times New Roman" w:hAnsi="Times New Roman"/>
          <w:sz w:val="20"/>
          <w:szCs w:val="20"/>
          <w:lang w:val="id-ID"/>
        </w:rPr>
        <w:t>449</w:t>
      </w:r>
      <w:r>
        <w:rPr>
          <w:rFonts w:ascii="Times New Roman" w:hAnsi="Times New Roman"/>
          <w:sz w:val="20"/>
          <w:szCs w:val="20"/>
        </w:rPr>
        <w:t xml:space="preserve">. </w:t>
      </w:r>
      <w:r w:rsidR="00B459B2" w:rsidRPr="005E1CC5">
        <w:rPr>
          <w:rFonts w:ascii="Times New Roman" w:hAnsi="Times New Roman"/>
          <w:sz w:val="20"/>
          <w:szCs w:val="20"/>
        </w:rPr>
        <w:t xml:space="preserve"> </w:t>
      </w:r>
      <w:r w:rsidR="00B459B2">
        <w:rPr>
          <w:rFonts w:ascii="Times New Roman" w:hAnsi="Times New Roman"/>
          <w:sz w:val="20"/>
          <w:szCs w:val="20"/>
        </w:rPr>
        <w:t xml:space="preserve"> </w:t>
      </w:r>
    </w:p>
    <w:p w14:paraId="6483010F" w14:textId="77777777" w:rsidR="0033116E" w:rsidRDefault="0033116E" w:rsidP="00B459B2">
      <w:pPr>
        <w:pStyle w:val="NoSpacing"/>
        <w:ind w:firstLine="567"/>
        <w:rPr>
          <w:rFonts w:ascii="Times New Roman" w:hAnsi="Times New Roman"/>
          <w:sz w:val="20"/>
          <w:szCs w:val="20"/>
        </w:rPr>
      </w:pPr>
    </w:p>
    <w:p w14:paraId="6D1540DC" w14:textId="70E96A9E" w:rsidR="00B459B2" w:rsidRPr="0033116E" w:rsidRDefault="0033116E" w:rsidP="0033116E">
      <w:pPr>
        <w:tabs>
          <w:tab w:val="left" w:pos="720"/>
        </w:tabs>
        <w:rPr>
          <w:rFonts w:eastAsia="Calibri"/>
          <w:b/>
          <w:iCs/>
          <w:sz w:val="20"/>
        </w:rPr>
      </w:pPr>
      <w:r w:rsidRPr="00272E24">
        <w:rPr>
          <w:b/>
          <w:sz w:val="20"/>
        </w:rPr>
        <w:t xml:space="preserve">Kata </w:t>
      </w:r>
      <w:r w:rsidR="00D158FE">
        <w:rPr>
          <w:b/>
          <w:sz w:val="20"/>
        </w:rPr>
        <w:t>K</w:t>
      </w:r>
      <w:r w:rsidRPr="00272E24">
        <w:rPr>
          <w:b/>
          <w:sz w:val="20"/>
        </w:rPr>
        <w:t>unci</w:t>
      </w:r>
      <w:r w:rsidRPr="00272E24">
        <w:rPr>
          <w:sz w:val="20"/>
        </w:rPr>
        <w:t xml:space="preserve">: </w:t>
      </w:r>
      <w:r w:rsidR="00D158FE">
        <w:rPr>
          <w:iCs/>
          <w:sz w:val="20"/>
        </w:rPr>
        <w:t>Kebijakan Hutang dan Nilai Perusahaan</w:t>
      </w:r>
    </w:p>
    <w:p w14:paraId="37527E7A" w14:textId="6523902E" w:rsidR="00B07394" w:rsidRPr="00BD71AF" w:rsidRDefault="00B421EE" w:rsidP="00BD71AF">
      <w:pPr>
        <w:pStyle w:val="Subtitle"/>
        <w:rPr>
          <w:i/>
        </w:rPr>
      </w:pPr>
      <w:r w:rsidRPr="00BD71AF">
        <w:rPr>
          <w:i/>
        </w:rPr>
        <w:t>Abstract</w:t>
      </w:r>
    </w:p>
    <w:p w14:paraId="2EE3C60B" w14:textId="713CB73B" w:rsidR="0033116E" w:rsidRPr="00D158FE" w:rsidRDefault="00D158FE" w:rsidP="00D158FE">
      <w:pPr>
        <w:tabs>
          <w:tab w:val="left" w:pos="720"/>
        </w:tabs>
        <w:rPr>
          <w:sz w:val="20"/>
        </w:rPr>
      </w:pPr>
      <w:r w:rsidRPr="00D079DD">
        <w:rPr>
          <w:sz w:val="20"/>
        </w:rPr>
        <w:t>This study aims to determine and analyze how much influence the Debt Policy (X) partially affects Firm Value (Y). This research is a quantitative study, using ratio analysis. The analysis method uses simple linear regression. The results showed that the Debt Policy (X)) partially did not have a significant effect on Firm Value (Y) in the Pulp and Paper sub-sector that went public on the Indonesia Stock Exchange of 0.449.</w:t>
      </w:r>
    </w:p>
    <w:p w14:paraId="1F310A43" w14:textId="77777777" w:rsidR="00AB2D68" w:rsidRDefault="00AB2D68" w:rsidP="005251CA">
      <w:pPr>
        <w:ind w:left="567" w:right="567"/>
        <w:rPr>
          <w:sz w:val="20"/>
        </w:rPr>
      </w:pPr>
    </w:p>
    <w:p w14:paraId="74572340" w14:textId="77777777" w:rsidR="00433721" w:rsidRDefault="00F234AD" w:rsidP="00433721">
      <w:pPr>
        <w:tabs>
          <w:tab w:val="left" w:pos="720"/>
        </w:tabs>
        <w:rPr>
          <w:sz w:val="20"/>
        </w:rPr>
      </w:pPr>
      <w:r w:rsidRPr="0008322E">
        <w:rPr>
          <w:b/>
          <w:i/>
          <w:sz w:val="20"/>
        </w:rPr>
        <w:t>Keywords:</w:t>
      </w:r>
      <w:r w:rsidRPr="0008322E">
        <w:rPr>
          <w:sz w:val="20"/>
        </w:rPr>
        <w:t xml:space="preserve"> </w:t>
      </w:r>
      <w:r w:rsidR="00433721" w:rsidRPr="00433721">
        <w:rPr>
          <w:i/>
          <w:iCs/>
          <w:sz w:val="20"/>
        </w:rPr>
        <w:t>Debt Policy and Company Value</w:t>
      </w:r>
    </w:p>
    <w:p w14:paraId="5C5E25C6" w14:textId="4DF03D71" w:rsidR="00E52EC5" w:rsidRPr="0033116E" w:rsidRDefault="00E52EC5" w:rsidP="0033116E">
      <w:pPr>
        <w:tabs>
          <w:tab w:val="left" w:pos="720"/>
        </w:tabs>
        <w:rPr>
          <w:rFonts w:eastAsia="Calibri"/>
          <w:b/>
          <w:iCs/>
          <w:sz w:val="20"/>
        </w:rPr>
      </w:pPr>
    </w:p>
    <w:p w14:paraId="56B93418" w14:textId="72AEC69E" w:rsidR="00F5014B" w:rsidRPr="00BB34F0" w:rsidRDefault="001B104B" w:rsidP="004F259E">
      <w:pPr>
        <w:pStyle w:val="Heading1"/>
        <w:spacing w:before="480"/>
      </w:pPr>
      <w:r w:rsidRPr="00BB34F0">
        <w:t xml:space="preserve">1. </w:t>
      </w:r>
      <w:r w:rsidR="00D32EF4">
        <w:rPr>
          <w:lang w:val="en-US"/>
        </w:rPr>
        <w:t>Introduction</w:t>
      </w:r>
      <w:r w:rsidR="00075B79" w:rsidRPr="00BB34F0">
        <w:t xml:space="preserve"> </w:t>
      </w:r>
    </w:p>
    <w:p w14:paraId="5BCB9CF9" w14:textId="41421FAE" w:rsidR="00FC2A97" w:rsidRPr="00FC2A97" w:rsidRDefault="00FC2A97" w:rsidP="00FC2A97">
      <w:pPr>
        <w:shd w:val="clear" w:color="auto" w:fill="FFFFFF" w:themeFill="background1"/>
        <w:ind w:firstLine="567"/>
        <w:rPr>
          <w:rFonts w:eastAsia="Calibri"/>
          <w:szCs w:val="22"/>
        </w:rPr>
      </w:pPr>
      <w:r w:rsidRPr="00FC2A97">
        <w:rPr>
          <w:rFonts w:eastAsia="Calibri"/>
          <w:szCs w:val="22"/>
        </w:rPr>
        <w:t xml:space="preserve">The commercial sector is an important role for development, whether it is government development through state-owned enterprises or the private sector. Many companies compete to improve the quality of the company so that they can compete in the market and attract consumers. It is best to use various methods. The success of a company can only be achieved through good management, one of which is by increasing the value of the company, the prosperity of the owner of the company, and the stock market price. Therefore, the company must develop a strategic plan regarding its financial aspects </w:t>
      </w:r>
      <w:r w:rsidR="007B2688">
        <w:rPr>
          <w:rFonts w:eastAsia="Calibri"/>
          <w:szCs w:val="22"/>
        </w:rPr>
        <w:fldChar w:fldCharType="begin" w:fldLock="1"/>
      </w:r>
      <w:r w:rsidR="007B2688">
        <w:rPr>
          <w:rFonts w:eastAsia="Calibri"/>
          <w:szCs w:val="22"/>
        </w:rPr>
        <w:instrText>ADDIN CSL_CITATION { "citationItems" : [ { "id" : "ITEM-1", "itemData" : { "author" : [ { "dropping-particle" : "", "family" : "Yulianti", "given" : "Liza", "non-dropping-particle" : "", "parse-names" : false, "suffix" : "" } ], "id" : "ITEM-1", "issued" : { "date-parts" : [ [ "2014" ] ] }, "publisher" : "Universitas Muhammadiyah Surakarta", "title" : "Pengaruh Keputusan Keuangan Dan Struktur Kepemilikan Terhadap Nilai Perusahaan (Studi Empiris Pada Perusahaan Manufaktur yang Terdaftar Di Bursa EfekIndonesia (BEI) Periode 2007 - 2011)", "type" : "thesis" }, "uris" : [ "http://www.mendeley.com/documents/?uuid=28593178-87a5-4738-a26b-15b933bf2c85" ] } ], "mendeley" : { "formattedCitation" : "[1]", "plainTextFormattedCitation" : "[1]", "previouslyFormattedCitation" : "[1]" }, "properties" : { "noteIndex" : 1 }, "schema" : "https://github.com/citation-style-language/schema/raw/master/csl-citation.json" }</w:instrText>
      </w:r>
      <w:r w:rsidR="007B2688">
        <w:rPr>
          <w:rFonts w:eastAsia="Calibri"/>
          <w:szCs w:val="22"/>
        </w:rPr>
        <w:fldChar w:fldCharType="separate"/>
      </w:r>
      <w:r w:rsidR="007B2688" w:rsidRPr="007B2688">
        <w:rPr>
          <w:rFonts w:eastAsia="Calibri"/>
          <w:noProof/>
          <w:szCs w:val="22"/>
        </w:rPr>
        <w:t>[1]</w:t>
      </w:r>
      <w:r w:rsidR="007B2688">
        <w:rPr>
          <w:rFonts w:eastAsia="Calibri"/>
          <w:szCs w:val="22"/>
        </w:rPr>
        <w:fldChar w:fldCharType="end"/>
      </w:r>
      <w:r w:rsidR="007B2688">
        <w:rPr>
          <w:rFonts w:eastAsia="Calibri"/>
          <w:szCs w:val="22"/>
        </w:rPr>
        <w:t>.</w:t>
      </w:r>
    </w:p>
    <w:p w14:paraId="2D51D759" w14:textId="77777777" w:rsidR="00FC2A97" w:rsidRPr="00FC2A97" w:rsidRDefault="00FC2A97" w:rsidP="00FC2A97">
      <w:pPr>
        <w:shd w:val="clear" w:color="auto" w:fill="FFFFFF" w:themeFill="background1"/>
        <w:ind w:firstLine="567"/>
        <w:rPr>
          <w:rFonts w:eastAsia="Calibri"/>
          <w:szCs w:val="22"/>
        </w:rPr>
      </w:pPr>
      <w:r w:rsidRPr="00FC2A97">
        <w:rPr>
          <w:rFonts w:eastAsia="Calibri"/>
          <w:szCs w:val="22"/>
        </w:rPr>
        <w:t>Company is a business entity in any form, a gathering place for workers, capital, natural resources, and entrepreneurship, which aims to obtain maximum profit or profit. By obtaining maximum profit, the company can survive and continue to develop and provide benefits for the owner for the welfare of the company owner. Companies must employ experts or professionals as managers and commissioners to manage the company in order to pay attention to the company's operations and financial activities. Because in today's era of increasingly fierce global competition, companies must improve their competitiveness in domestic and foreign markets to achieve company goals, especially listed companies. By employing experts and professional management personnel, it is hoped that the company's performance will be safer and able to survive and compete in domestic and foreign markets.</w:t>
      </w:r>
    </w:p>
    <w:p w14:paraId="13FD23D2" w14:textId="59A361BC" w:rsidR="0061204D" w:rsidRDefault="00FC2A97" w:rsidP="00FC2A97">
      <w:pPr>
        <w:shd w:val="clear" w:color="auto" w:fill="FFFFFF" w:themeFill="background1"/>
        <w:ind w:firstLine="567"/>
        <w:rPr>
          <w:rFonts w:eastAsia="Calibri"/>
          <w:szCs w:val="22"/>
        </w:rPr>
      </w:pPr>
      <w:r w:rsidRPr="00FC2A97">
        <w:rPr>
          <w:rFonts w:eastAsia="Calibri"/>
          <w:szCs w:val="22"/>
        </w:rPr>
        <w:t xml:space="preserve">The value of the company can be defined as a reflection of the value of the assets that will be owned by the company at the time of sale. According to Sartono </w:t>
      </w:r>
      <w:r w:rsidR="00D14DF3">
        <w:rPr>
          <w:rFonts w:eastAsia="Calibri"/>
          <w:szCs w:val="22"/>
        </w:rPr>
        <w:fldChar w:fldCharType="begin" w:fldLock="1"/>
      </w:r>
      <w:r w:rsidR="007B2688">
        <w:rPr>
          <w:rFonts w:eastAsia="Calibri"/>
          <w:szCs w:val="22"/>
        </w:rPr>
        <w:instrText>ADDIN CSL_CITATION { "citationItems" : [ { "id" : "ITEM-1", "itemData" : { "author" : [ { "dropping-particle" : "", "family" : "Agus Sartono", "given" : "", "non-dropping-particle" : "", "parse-names" : false, "suffix" : "" } ], "id" : "ITEM-1", "issued" : { "date-parts" : [ [ "2012" ] ] }, "publisher" : "BPFE", "publisher-place" : "Yogyakarta", "title" : "Manajemen Keuangan Teori dan Aplikasi", "type" : "book" }, "uris" : [ "http://www.mendeley.com/documents/?uuid=4a0485a3-b0d6-4d00-b82a-cdfecb910a98" ] } ], "mendeley" : { "formattedCitation" : "[2]", "plainTextFormattedCitation" : "[2]", "previouslyFormattedCitation" : "[2]" }, "properties" : { "noteIndex" : 1 }, "schema" : "https://github.com/citation-style-language/schema/raw/master/csl-citation.json" }</w:instrText>
      </w:r>
      <w:r w:rsidR="00D14DF3">
        <w:rPr>
          <w:rFonts w:eastAsia="Calibri"/>
          <w:szCs w:val="22"/>
        </w:rPr>
        <w:fldChar w:fldCharType="separate"/>
      </w:r>
      <w:r w:rsidR="007B2688" w:rsidRPr="007B2688">
        <w:rPr>
          <w:rFonts w:eastAsia="Calibri"/>
          <w:noProof/>
          <w:szCs w:val="22"/>
        </w:rPr>
        <w:t>[2]</w:t>
      </w:r>
      <w:r w:rsidR="00D14DF3">
        <w:rPr>
          <w:rFonts w:eastAsia="Calibri"/>
          <w:szCs w:val="22"/>
        </w:rPr>
        <w:fldChar w:fldCharType="end"/>
      </w:r>
      <w:r w:rsidRPr="00FC2A97">
        <w:rPr>
          <w:rFonts w:eastAsia="Calibri"/>
          <w:szCs w:val="22"/>
        </w:rPr>
        <w:t xml:space="preserve">, firm value is defined as the price that potential investors are willing to pay when they are willing to sell the company. Firm value is the price potential buyers are willing to pay when selling the company. The higher </w:t>
      </w:r>
      <w:r w:rsidRPr="00FC2A97">
        <w:rPr>
          <w:rFonts w:eastAsia="Calibri"/>
          <w:szCs w:val="22"/>
        </w:rPr>
        <w:lastRenderedPageBreak/>
        <w:t>the value of the company, the more prosperity the owner of the company will enjoy. Firm value can represent the value of assets (such as securi</w:t>
      </w:r>
      <w:r w:rsidR="00D14DF3">
        <w:rPr>
          <w:rFonts w:eastAsia="Calibri"/>
          <w:szCs w:val="22"/>
        </w:rPr>
        <w:t xml:space="preserve">ties) owned by the company </w:t>
      </w:r>
      <w:r w:rsidR="00D14DF3">
        <w:rPr>
          <w:rFonts w:eastAsia="Calibri"/>
          <w:szCs w:val="22"/>
        </w:rPr>
        <w:fldChar w:fldCharType="begin" w:fldLock="1"/>
      </w:r>
      <w:r w:rsidR="007B2688">
        <w:rPr>
          <w:rFonts w:eastAsia="Calibri"/>
          <w:szCs w:val="22"/>
        </w:rPr>
        <w:instrText>ADDIN CSL_CITATION { "citationItems" : [ { "id" : "ITEM-1", "itemData" : { "author" : [ { "dropping-particle" : "", "family" : "Husnan", "given" : "Saud", "non-dropping-particle" : "", "parse-names" : false, "suffix" : "" } ], "edition" : "Pertama", "id" : "ITEM-1", "issued" : { "date-parts" : [ [ "2008" ] ] }, "publisher" : "BPFE Yogyakarta", "publisher-place" : "Yogyakarta", "title" : "Manajemen Keuangan: Teori dan Penerapan", "type" : "book" }, "uris" : [ "http://www.mendeley.com/documents/?uuid=4687b5fd-083d-435b-b0fe-4522530ae284" ] } ], "mendeley" : { "formattedCitation" : "[3]", "plainTextFormattedCitation" : "[3]", "previouslyFormattedCitation" : "[3]" }, "properties" : { "noteIndex" : 2 }, "schema" : "https://github.com/citation-style-language/schema/raw/master/csl-citation.json" }</w:instrText>
      </w:r>
      <w:r w:rsidR="00D14DF3">
        <w:rPr>
          <w:rFonts w:eastAsia="Calibri"/>
          <w:szCs w:val="22"/>
        </w:rPr>
        <w:fldChar w:fldCharType="separate"/>
      </w:r>
      <w:r w:rsidR="007B2688" w:rsidRPr="007B2688">
        <w:rPr>
          <w:rFonts w:eastAsia="Calibri"/>
          <w:noProof/>
          <w:szCs w:val="22"/>
        </w:rPr>
        <w:t>[3]</w:t>
      </w:r>
      <w:r w:rsidR="00D14DF3">
        <w:rPr>
          <w:rFonts w:eastAsia="Calibri"/>
          <w:szCs w:val="22"/>
        </w:rPr>
        <w:fldChar w:fldCharType="end"/>
      </w:r>
      <w:r w:rsidR="00D14DF3">
        <w:rPr>
          <w:rFonts w:eastAsia="Calibri"/>
          <w:szCs w:val="22"/>
        </w:rPr>
        <w:t>.</w:t>
      </w:r>
    </w:p>
    <w:p w14:paraId="37BF3179" w14:textId="7C69340A" w:rsidR="00FC2A97" w:rsidRPr="00FC2A97" w:rsidRDefault="00FC2A97" w:rsidP="00FC2A97">
      <w:pPr>
        <w:shd w:val="clear" w:color="auto" w:fill="FFFFFF" w:themeFill="background1"/>
        <w:ind w:firstLine="567"/>
        <w:rPr>
          <w:rFonts w:eastAsia="Calibri"/>
          <w:szCs w:val="22"/>
        </w:rPr>
      </w:pPr>
      <w:proofErr w:type="gramStart"/>
      <w:r w:rsidRPr="00FC2A97">
        <w:rPr>
          <w:rFonts w:eastAsia="Calibri"/>
          <w:szCs w:val="22"/>
        </w:rPr>
        <w:t>value</w:t>
      </w:r>
      <w:proofErr w:type="gramEnd"/>
      <w:r w:rsidRPr="00FC2A97">
        <w:rPr>
          <w:rFonts w:eastAsia="Calibri"/>
          <w:szCs w:val="22"/>
        </w:rPr>
        <w:t xml:space="preserve"> is very important because it reflects the company's performance and affects investors' perceptions of the company. The value of the company will show the prosperity of shareholders. The higher the value of the company, the richer the shareholders</w:t>
      </w:r>
      <w:r w:rsidR="007B2688">
        <w:rPr>
          <w:rFonts w:eastAsia="Calibri"/>
          <w:szCs w:val="22"/>
        </w:rPr>
        <w:t xml:space="preserve"> </w:t>
      </w:r>
      <w:r w:rsidR="007B2688">
        <w:rPr>
          <w:rFonts w:eastAsia="Calibri"/>
          <w:szCs w:val="22"/>
        </w:rPr>
        <w:fldChar w:fldCharType="begin" w:fldLock="1"/>
      </w:r>
      <w:r w:rsidR="007B2688">
        <w:rPr>
          <w:rFonts w:eastAsia="Calibri"/>
          <w:szCs w:val="22"/>
        </w:rPr>
        <w:instrText>ADDIN CSL_CITATION { "citationItems" : [ { "id" : "ITEM-1", "itemData" : { "author" : [ { "dropping-particle" : "", "family" : "Fenandar, I., Gany dan Raharja", "given" : "Surya", "non-dropping-particle" : "", "parse-names" : false, "suffix" : "" } ], "container-title" : "Jurnal Akuntansi", "id" : "ITEM-1", "issue" : "2", "issued" : { "date-parts" : [ [ "2012" ] ] }, "page" : "01-10", "title" : "Pengaruh Keputusan Investasi, Keputusan Pendanaan, dan Kebijakan Deviden Terhadap Nilai Perusahaan", "type" : "article-journal", "volume" : "1" }, "uris" : [ "http://www.mendeley.com/documents/?uuid=f5da6f82-d55e-491b-930a-2dcc7a97146a" ] } ], "mendeley" : { "formattedCitation" : "[4]", "plainTextFormattedCitation" : "[4]", "previouslyFormattedCitation" : "[4]" }, "properties" : { "noteIndex" : 2 }, "schema" : "https://github.com/citation-style-language/schema/raw/master/csl-citation.json" }</w:instrText>
      </w:r>
      <w:r w:rsidR="007B2688">
        <w:rPr>
          <w:rFonts w:eastAsia="Calibri"/>
          <w:szCs w:val="22"/>
        </w:rPr>
        <w:fldChar w:fldCharType="separate"/>
      </w:r>
      <w:r w:rsidR="007B2688" w:rsidRPr="007B2688">
        <w:rPr>
          <w:rFonts w:eastAsia="Calibri"/>
          <w:noProof/>
          <w:szCs w:val="22"/>
        </w:rPr>
        <w:t>[4]</w:t>
      </w:r>
      <w:r w:rsidR="007B2688">
        <w:rPr>
          <w:rFonts w:eastAsia="Calibri"/>
          <w:szCs w:val="22"/>
        </w:rPr>
        <w:fldChar w:fldCharType="end"/>
      </w:r>
      <w:r w:rsidR="007B2688">
        <w:rPr>
          <w:rFonts w:eastAsia="Calibri"/>
          <w:szCs w:val="22"/>
        </w:rPr>
        <w:t>.</w:t>
      </w:r>
    </w:p>
    <w:p w14:paraId="3CD9B504" w14:textId="0FAD077D" w:rsidR="00FC2A97" w:rsidRPr="00FC2A97" w:rsidRDefault="00FC2A97" w:rsidP="00FC2A97">
      <w:pPr>
        <w:shd w:val="clear" w:color="auto" w:fill="FFFFFF" w:themeFill="background1"/>
        <w:ind w:firstLine="567"/>
        <w:rPr>
          <w:rFonts w:eastAsia="Calibri"/>
          <w:szCs w:val="22"/>
        </w:rPr>
      </w:pPr>
      <w:r w:rsidRPr="00FC2A97">
        <w:rPr>
          <w:rFonts w:eastAsia="Calibri"/>
          <w:szCs w:val="22"/>
        </w:rPr>
        <w:t>Firm value is the result of many aspects of management, including net cash flow from investment decisions, growth and cost of capital. For investors, firm value is an important concept, because firm value is an indicator of how the market evaluates the firm as a whole</w:t>
      </w:r>
      <w:r w:rsidR="007B2688">
        <w:rPr>
          <w:rFonts w:eastAsia="Calibri"/>
          <w:szCs w:val="22"/>
        </w:rPr>
        <w:t xml:space="preserve"> </w:t>
      </w:r>
      <w:r w:rsidR="007B2688">
        <w:rPr>
          <w:rFonts w:eastAsia="Calibri"/>
          <w:szCs w:val="22"/>
        </w:rPr>
        <w:fldChar w:fldCharType="begin" w:fldLock="1"/>
      </w:r>
      <w:r w:rsidR="007B2688">
        <w:rPr>
          <w:rFonts w:eastAsia="Calibri"/>
          <w:szCs w:val="22"/>
        </w:rPr>
        <w:instrText>ADDIN CSL_CITATION { "citationItems" : [ { "id" : "ITEM-1", "itemData" : { "author" : [ { "dropping-particle" : "", "family" : "Prasetyo", "given" : "Aries Heru", "non-dropping-particle" : "", "parse-names" : false, "suffix" : "" } ], "editor" : [ { "dropping-particle" : "", "family" : "PPM", "given" : "", "non-dropping-particle" : "", "parse-names" : false, "suffix" : "" } ], "id" : "ITEM-1", "issued" : { "date-parts" : [ [ "2011" ] ] }, "publisher" : "PPM", "publisher-place" : "Jakarta", "title" : "Valuasi Perusahaan", "type" : "book" }, "uris" : [ "http://www.mendeley.com/documents/?uuid=6f73e9f8-7de0-4e07-bc54-706dff8492ac" ] } ], "mendeley" : { "formattedCitation" : "[5]", "plainTextFormattedCitation" : "[5]", "previouslyFormattedCitation" : "[5]" }, "properties" : { "noteIndex" : 2 }, "schema" : "https://github.com/citation-style-language/schema/raw/master/csl-citation.json" }</w:instrText>
      </w:r>
      <w:r w:rsidR="007B2688">
        <w:rPr>
          <w:rFonts w:eastAsia="Calibri"/>
          <w:szCs w:val="22"/>
        </w:rPr>
        <w:fldChar w:fldCharType="separate"/>
      </w:r>
      <w:r w:rsidR="007B2688" w:rsidRPr="007B2688">
        <w:rPr>
          <w:rFonts w:eastAsia="Calibri"/>
          <w:noProof/>
          <w:szCs w:val="22"/>
        </w:rPr>
        <w:t>[5]</w:t>
      </w:r>
      <w:r w:rsidR="007B2688">
        <w:rPr>
          <w:rFonts w:eastAsia="Calibri"/>
          <w:szCs w:val="22"/>
        </w:rPr>
        <w:fldChar w:fldCharType="end"/>
      </w:r>
      <w:r w:rsidRPr="00FC2A97">
        <w:rPr>
          <w:rFonts w:eastAsia="Calibri"/>
          <w:szCs w:val="22"/>
        </w:rPr>
        <w:t>. High company value is the desire of the owner of the company because it has a high value, indicating that the welfare of shareholders is also high. In this study, the firm value variable is expressed as the ratio of price to book (PBV) because PBV is widely used in investment decisions. The PBV describes the market's emphasis on the book value of a company's stock. Well-managed companies usually have a PBV higher than 1, which means that the market value of the stock is greater than the book value.</w:t>
      </w:r>
    </w:p>
    <w:p w14:paraId="07022DED" w14:textId="72F78F8A" w:rsidR="00FC2A97" w:rsidRPr="00FC2A97" w:rsidRDefault="00FC2A97" w:rsidP="00FC2A97">
      <w:pPr>
        <w:shd w:val="clear" w:color="auto" w:fill="FFFFFF" w:themeFill="background1"/>
        <w:ind w:firstLine="567"/>
        <w:rPr>
          <w:rFonts w:eastAsia="Calibri"/>
          <w:szCs w:val="22"/>
        </w:rPr>
      </w:pPr>
      <w:r w:rsidRPr="00FC2A97">
        <w:rPr>
          <w:rFonts w:eastAsia="Calibri"/>
          <w:szCs w:val="22"/>
        </w:rPr>
        <w:t>Factors that can affect the value of the company is debt policy. Wise investors will see an increase in company value due to the use of large debt, in other words, investors see debt</w:t>
      </w:r>
      <w:r w:rsidR="00D14DF3">
        <w:rPr>
          <w:rFonts w:eastAsia="Calibri"/>
          <w:szCs w:val="22"/>
        </w:rPr>
        <w:t xml:space="preserve"> as a signal of company value </w:t>
      </w:r>
      <w:r w:rsidR="00D14DF3">
        <w:rPr>
          <w:rFonts w:eastAsia="Calibri"/>
          <w:szCs w:val="22"/>
        </w:rPr>
        <w:fldChar w:fldCharType="begin" w:fldLock="1"/>
      </w:r>
      <w:r w:rsidR="007B2688">
        <w:rPr>
          <w:rFonts w:eastAsia="Calibri"/>
          <w:szCs w:val="22"/>
        </w:rPr>
        <w:instrText>ADDIN CSL_CITATION { "citationItems" : [ { "id" : "ITEM-1", "itemData" : { "author" : [ { "dropping-particle" : "", "family" : "I Made Sudana", "given" : "", "non-dropping-particle" : "", "parse-names" : false, "suffix" : "" } ], "id" : "ITEM-1", "issued" : { "date-parts" : [ [ "2015" ] ] }, "publisher" : "Erlangga", "publisher-place" : "Jakarta", "title" : "Manajemen Keuangan Perusahaan", "type" : "book" }, "uris" : [ "http://www.mendeley.com/documents/?uuid=8773f4e7-a9dc-4d2b-beae-7b7632f6c728" ] } ], "mendeley" : { "formattedCitation" : "[6]", "plainTextFormattedCitation" : "[6]", "previouslyFormattedCitation" : "[6]" }, "properties" : { "noteIndex" : 2 }, "schema" : "https://github.com/citation-style-language/schema/raw/master/csl-citation.json" }</w:instrText>
      </w:r>
      <w:r w:rsidR="00D14DF3">
        <w:rPr>
          <w:rFonts w:eastAsia="Calibri"/>
          <w:szCs w:val="22"/>
        </w:rPr>
        <w:fldChar w:fldCharType="separate"/>
      </w:r>
      <w:r w:rsidR="007B2688" w:rsidRPr="007B2688">
        <w:rPr>
          <w:rFonts w:eastAsia="Calibri"/>
          <w:noProof/>
          <w:szCs w:val="22"/>
        </w:rPr>
        <w:t>[6]</w:t>
      </w:r>
      <w:r w:rsidR="00D14DF3">
        <w:rPr>
          <w:rFonts w:eastAsia="Calibri"/>
          <w:szCs w:val="22"/>
        </w:rPr>
        <w:fldChar w:fldCharType="end"/>
      </w:r>
      <w:r w:rsidR="00D14DF3">
        <w:rPr>
          <w:rFonts w:eastAsia="Calibri"/>
          <w:szCs w:val="22"/>
        </w:rPr>
        <w:t xml:space="preserve">. </w:t>
      </w:r>
      <w:proofErr w:type="gramStart"/>
      <w:r w:rsidRPr="00FC2A97">
        <w:rPr>
          <w:rFonts w:eastAsia="Calibri"/>
          <w:szCs w:val="22"/>
        </w:rPr>
        <w:t>firm</w:t>
      </w:r>
      <w:proofErr w:type="gramEnd"/>
      <w:r w:rsidRPr="00FC2A97">
        <w:rPr>
          <w:rFonts w:eastAsia="Calibri"/>
          <w:szCs w:val="22"/>
        </w:rPr>
        <w:t xml:space="preserve"> value is influenced by debt policy (DER).</w:t>
      </w:r>
    </w:p>
    <w:p w14:paraId="79A89DE8" w14:textId="77777777" w:rsidR="00FC2A97" w:rsidRPr="00FC2A97" w:rsidRDefault="00FC2A97" w:rsidP="00FC2A97">
      <w:pPr>
        <w:shd w:val="clear" w:color="auto" w:fill="FFFFFF" w:themeFill="background1"/>
        <w:ind w:firstLine="567"/>
        <w:rPr>
          <w:rFonts w:eastAsia="Calibri"/>
          <w:szCs w:val="22"/>
        </w:rPr>
      </w:pPr>
      <w:r w:rsidRPr="00FC2A97">
        <w:rPr>
          <w:rFonts w:eastAsia="Calibri"/>
          <w:szCs w:val="22"/>
        </w:rPr>
        <w:t>This study is aimed at companies in the pulp and paper industry and is publicly listed on the Indonesia Stock Exchange. The pulp and paper industry has made a major contribution to the national economy. In 2018, this industry contributed 17.6% to the non-oil and gas processing industry and 6.3% to the national processing industry. The GDP of the pulp and paper industry is growing every year. In the same year, the industry increased 1.1% year-on-year. It is expected that the pulp and paper industry will grow by 5% in 2019. The Indonesian Pulp and Paper Association (APKI) estimates that global and domestic demand will continue to grow at a rate of 2% (year-on-year) (https</w:t>
      </w:r>
      <w:proofErr w:type="gramStart"/>
      <w:r w:rsidRPr="00FC2A97">
        <w:rPr>
          <w:rFonts w:eastAsia="Calibri"/>
          <w:szCs w:val="22"/>
        </w:rPr>
        <w:t>:/</w:t>
      </w:r>
      <w:proofErr w:type="gramEnd"/>
      <w:r w:rsidRPr="00FC2A97">
        <w:rPr>
          <w:rFonts w:eastAsia="Calibri"/>
          <w:szCs w:val="22"/>
        </w:rPr>
        <w:t>/analysis. kontan.co.id)</w:t>
      </w:r>
    </w:p>
    <w:p w14:paraId="4DBFACE1" w14:textId="578D3218" w:rsidR="0033116E" w:rsidRDefault="00FC2A97" w:rsidP="00FC2A97">
      <w:pPr>
        <w:shd w:val="clear" w:color="auto" w:fill="FFFFFF" w:themeFill="background1"/>
        <w:ind w:firstLine="567"/>
        <w:rPr>
          <w:szCs w:val="22"/>
          <w:lang w:eastAsia="id-ID"/>
        </w:rPr>
      </w:pPr>
      <w:r w:rsidRPr="00FC2A97">
        <w:rPr>
          <w:rFonts w:eastAsia="Calibri"/>
          <w:szCs w:val="22"/>
        </w:rPr>
        <w:t>However, due to the decline in global pulp prices, the value of pulp and paper exports from January to May 2019 was US$2.75 billion, a 2.48% year-on-year decline to US$2.82 billion. According to data from the Ministry of Environment and Forestry (KLHK), the value of paper exports from January to April 2019 fell 2.05% to US$1.43 billion, compared to US$1.46 billion in the same period last year. At the same time, the pulp export volume from January to April 2019 was US$ 880.3 million, down 0.71% from US$ 872.1 million in the same period last year. Liana Bratasida, executive director of the Indonesian Pulp and Paper Association (APKI), said that</w:t>
      </w:r>
      <w:r w:rsidRPr="00FC2A97">
        <w:rPr>
          <w:rFonts w:eastAsia="Calibri"/>
          <w:sz w:val="24"/>
          <w:szCs w:val="22"/>
        </w:rPr>
        <w:t xml:space="preserve"> </w:t>
      </w:r>
      <w:proofErr w:type="gramStart"/>
      <w:r w:rsidRPr="00FC2A97">
        <w:rPr>
          <w:rFonts w:eastAsia="Calibri"/>
          <w:sz w:val="24"/>
          <w:szCs w:val="22"/>
        </w:rPr>
        <w:t>wa</w:t>
      </w:r>
      <w:proofErr w:type="gramEnd"/>
      <w:r w:rsidRPr="00FC2A97">
        <w:rPr>
          <w:rFonts w:eastAsia="Calibri"/>
          <w:sz w:val="24"/>
          <w:szCs w:val="22"/>
        </w:rPr>
        <w:t xml:space="preserve"> the decline in pulp and paper exports was caused by fluctuations in pulp prices due to fluctuations in global market prices </w:t>
      </w:r>
      <w:r w:rsidR="00433721" w:rsidRPr="00433721">
        <w:rPr>
          <w:sz w:val="24"/>
          <w:szCs w:val="24"/>
        </w:rPr>
        <w:t>(https://ekonomi.bisnis.com)</w:t>
      </w:r>
      <w:r w:rsidR="00147F82">
        <w:rPr>
          <w:sz w:val="24"/>
          <w:szCs w:val="24"/>
        </w:rPr>
        <w:t>.</w:t>
      </w:r>
    </w:p>
    <w:p w14:paraId="678E0CD6" w14:textId="37B301EC" w:rsidR="00456DD2" w:rsidRPr="00213B60" w:rsidRDefault="00456DD2" w:rsidP="00B478B1">
      <w:pPr>
        <w:shd w:val="clear" w:color="auto" w:fill="FFFFFF" w:themeFill="background1"/>
        <w:ind w:firstLine="567"/>
        <w:rPr>
          <w:szCs w:val="22"/>
        </w:rPr>
      </w:pPr>
    </w:p>
    <w:p w14:paraId="3B905404" w14:textId="343EA2E2" w:rsidR="00F34CAE" w:rsidRPr="001543F4" w:rsidRDefault="00D13141" w:rsidP="00D13141">
      <w:pPr>
        <w:pStyle w:val="Heading1"/>
        <w:numPr>
          <w:ilvl w:val="1"/>
          <w:numId w:val="23"/>
        </w:numPr>
        <w:rPr>
          <w:rFonts w:eastAsia="Calibri"/>
          <w:lang w:val="en-US"/>
        </w:rPr>
      </w:pPr>
      <w:r w:rsidRPr="00D13141">
        <w:rPr>
          <w:rFonts w:eastAsia="Calibri"/>
          <w:lang w:val="en-US"/>
        </w:rPr>
        <w:t>Literature review</w:t>
      </w:r>
    </w:p>
    <w:p w14:paraId="3D1A34C4" w14:textId="77777777" w:rsidR="00FC2A97" w:rsidRPr="00FC2A97" w:rsidRDefault="00FC2A97" w:rsidP="00FC2A97">
      <w:pPr>
        <w:autoSpaceDE w:val="0"/>
        <w:autoSpaceDN w:val="0"/>
        <w:adjustRightInd w:val="0"/>
        <w:rPr>
          <w:rFonts w:eastAsia="Calibri"/>
        </w:rPr>
      </w:pPr>
      <w:r w:rsidRPr="00FC2A97">
        <w:rPr>
          <w:rFonts w:eastAsia="Calibri"/>
        </w:rPr>
        <w:t>Debt policy</w:t>
      </w:r>
    </w:p>
    <w:p w14:paraId="31671926" w14:textId="6BD17CD6" w:rsidR="00FC2A97" w:rsidRPr="00FC2A97" w:rsidRDefault="00FC2A97" w:rsidP="00FC2A97">
      <w:pPr>
        <w:autoSpaceDE w:val="0"/>
        <w:autoSpaceDN w:val="0"/>
        <w:adjustRightInd w:val="0"/>
        <w:ind w:firstLine="720"/>
        <w:rPr>
          <w:rFonts w:eastAsia="Calibri"/>
        </w:rPr>
      </w:pPr>
      <w:r w:rsidRPr="00FC2A97">
        <w:rPr>
          <w:rFonts w:eastAsia="Calibri"/>
        </w:rPr>
        <w:t>Debts are all financial obligations that have not been carried out by the company to other parties. Debt is a source of capital or company capital. Financing decisions include other sources of funds used by the company to run the business. In terms of the financing structure, if the company uses loans or debt as a source of financing other than its own capital, it is said that the company uses debt</w:t>
      </w:r>
      <w:r w:rsidR="007B2688">
        <w:rPr>
          <w:rFonts w:eastAsia="Calibri"/>
        </w:rPr>
        <w:t xml:space="preserve"> </w:t>
      </w:r>
      <w:r w:rsidR="007B2688">
        <w:rPr>
          <w:rFonts w:eastAsia="Calibri"/>
        </w:rPr>
        <w:fldChar w:fldCharType="begin" w:fldLock="1"/>
      </w:r>
      <w:r w:rsidR="007B2688">
        <w:rPr>
          <w:rFonts w:eastAsia="Calibri"/>
        </w:rPr>
        <w:instrText>ADDIN CSL_CITATION { "citationItems" : [ { "id" : "ITEM-1", "itemData" : { "author" : [ { "dropping-particle" : "", "family" : "Tiara", "given" : "Monica", "non-dropping-particle" : "", "parse-names" : false, "suffix" : "" } ], "id" : "ITEM-1", "issued" : { "date-parts" : [ [ "2015" ] ] }, "publisher" : "Fakultas Ekonomi dan Bisnis Universitas Lampung", "title" : "Pengaruh Hutang Dan Earnings Per Share Terhadap Harga Saham Pada Perusaaan Farmasi Yang Terdaftar Di Bursa Efek Indonesia (BEI) Tahun 2007-2013", "type" : "thesis" }, "uris" : [ "http://www.mendeley.com/documents/?uuid=f321d44e-af49-4824-98b5-77aa280e2459" ] } ], "mendeley" : { "formattedCitation" : "[7]", "plainTextFormattedCitation" : "[7]", "previouslyFormattedCitation" : "[7]" }, "properties" : { "noteIndex" : 2 }, "schema" : "https://github.com/citation-style-language/schema/raw/master/csl-citation.json" }</w:instrText>
      </w:r>
      <w:r w:rsidR="007B2688">
        <w:rPr>
          <w:rFonts w:eastAsia="Calibri"/>
        </w:rPr>
        <w:fldChar w:fldCharType="separate"/>
      </w:r>
      <w:r w:rsidR="007B2688" w:rsidRPr="007B2688">
        <w:rPr>
          <w:rFonts w:eastAsia="Calibri"/>
          <w:noProof/>
        </w:rPr>
        <w:t>[7]</w:t>
      </w:r>
      <w:r w:rsidR="007B2688">
        <w:rPr>
          <w:rFonts w:eastAsia="Calibri"/>
        </w:rPr>
        <w:fldChar w:fldCharType="end"/>
      </w:r>
      <w:r w:rsidRPr="00FC2A97">
        <w:rPr>
          <w:rFonts w:eastAsia="Calibri"/>
        </w:rPr>
        <w:t>.</w:t>
      </w:r>
    </w:p>
    <w:p w14:paraId="5B3C8764" w14:textId="07C6F755" w:rsidR="00FC2A97" w:rsidRPr="00FC2A97" w:rsidRDefault="00FC2A97" w:rsidP="00FC2A97">
      <w:pPr>
        <w:autoSpaceDE w:val="0"/>
        <w:autoSpaceDN w:val="0"/>
        <w:adjustRightInd w:val="0"/>
        <w:ind w:firstLine="720"/>
        <w:rPr>
          <w:rFonts w:eastAsia="Calibri"/>
        </w:rPr>
      </w:pPr>
      <w:r w:rsidRPr="00FC2A97">
        <w:rPr>
          <w:rFonts w:eastAsia="Calibri"/>
        </w:rPr>
        <w:t>According to Riyanto</w:t>
      </w:r>
      <w:r w:rsidR="00D14DF3">
        <w:rPr>
          <w:rFonts w:eastAsia="Calibri"/>
        </w:rPr>
        <w:t xml:space="preserve"> </w:t>
      </w:r>
      <w:r w:rsidR="00D14DF3">
        <w:rPr>
          <w:rFonts w:eastAsia="Calibri"/>
        </w:rPr>
        <w:fldChar w:fldCharType="begin" w:fldLock="1"/>
      </w:r>
      <w:r w:rsidR="007B2688">
        <w:rPr>
          <w:rFonts w:eastAsia="Calibri"/>
        </w:rPr>
        <w:instrText>ADDIN CSL_CITATION { "citationItems" : [ { "id" : "ITEM-1", "itemData" : { "author" : [ { "dropping-particle" : "", "family" : "Bambang Riyanto", "given" : "", "non-dropping-particle" : "", "parse-names" : false, "suffix" : "" } ], "id" : "ITEM-1", "issued" : { "date-parts" : [ [ "2013" ] ] }, "publisher" : "BPFE Yogyakarta", "publisher-place" : "Yogyakarta", "title" : "Dasar-Dasar Pembelanjaan Perusahaan", "type" : "book" }, "uris" : [ "http://www.mendeley.com/documents/?uuid=0a1bb9a0-4c98-4421-ac12-b0309f0ed20a" ] } ], "mendeley" : { "formattedCitation" : "[8]", "plainTextFormattedCitation" : "[8]", "previouslyFormattedCitation" : "[8]" }, "properties" : { "noteIndex" : 2 }, "schema" : "https://github.com/citation-style-language/schema/raw/master/csl-citation.json" }</w:instrText>
      </w:r>
      <w:r w:rsidR="00D14DF3">
        <w:rPr>
          <w:rFonts w:eastAsia="Calibri"/>
        </w:rPr>
        <w:fldChar w:fldCharType="separate"/>
      </w:r>
      <w:r w:rsidR="007B2688" w:rsidRPr="007B2688">
        <w:rPr>
          <w:rFonts w:eastAsia="Calibri"/>
          <w:noProof/>
        </w:rPr>
        <w:t>[8]</w:t>
      </w:r>
      <w:r w:rsidR="00D14DF3">
        <w:rPr>
          <w:rFonts w:eastAsia="Calibri"/>
        </w:rPr>
        <w:fldChar w:fldCharType="end"/>
      </w:r>
      <w:r w:rsidRPr="00FC2A97">
        <w:rPr>
          <w:rFonts w:eastAsia="Calibri"/>
        </w:rPr>
        <w:t xml:space="preserve">, understanding debt policy is a policy adopted by management to obtain company sources of funds so that they can be used to fund company operations. According to Martono </w:t>
      </w:r>
      <w:r w:rsidR="00D14DF3">
        <w:rPr>
          <w:rFonts w:eastAsia="Calibri"/>
        </w:rPr>
        <w:fldChar w:fldCharType="begin" w:fldLock="1"/>
      </w:r>
      <w:r w:rsidR="007B2688">
        <w:rPr>
          <w:rFonts w:eastAsia="Calibri"/>
        </w:rPr>
        <w:instrText>ADDIN CSL_CITATION { "citationItems" : [ { "id" : "ITEM-1", "itemData" : { "author" : [ { "dropping-particle" : "", "family" : "Martono", "given" : "", "non-dropping-particle" : "", "parse-names" : false, "suffix" : "" }, { "dropping-particle" : "", "family" : "Harjito", "given" : "Agus", "non-dropping-particle" : "", "parse-names" : false, "suffix" : "" } ], "id" : "ITEM-1", "issued" : { "date-parts" : [ [ "2010" ] ] }, "publisher" : "Ekonisia", "publisher-place" : "Yogyakarta", "title" : "Manajemen Keuangan", "type" : "book" }, "uris" : [ "http://www.mendeley.com/documents/?uuid=3c69778d-3e20-480a-a2a0-f32b30d4168d" ] } ], "mendeley" : { "formattedCitation" : "[9]", "plainTextFormattedCitation" : "[9]", "previouslyFormattedCitation" : "[9]" }, "properties" : { "noteIndex" : 2 }, "schema" : "https://github.com/citation-style-language/schema/raw/master/csl-citation.json" }</w:instrText>
      </w:r>
      <w:r w:rsidR="00D14DF3">
        <w:rPr>
          <w:rFonts w:eastAsia="Calibri"/>
        </w:rPr>
        <w:fldChar w:fldCharType="separate"/>
      </w:r>
      <w:r w:rsidR="007B2688" w:rsidRPr="007B2688">
        <w:rPr>
          <w:rFonts w:eastAsia="Calibri"/>
          <w:noProof/>
        </w:rPr>
        <w:t>[9]</w:t>
      </w:r>
      <w:r w:rsidR="00D14DF3">
        <w:rPr>
          <w:rFonts w:eastAsia="Calibri"/>
        </w:rPr>
        <w:fldChar w:fldCharType="end"/>
      </w:r>
      <w:r w:rsidRPr="00FC2A97">
        <w:rPr>
          <w:rFonts w:eastAsia="Calibri"/>
        </w:rPr>
        <w:t>, debt policy is a company policy regarding the extent to which companies use debt funds.</w:t>
      </w:r>
    </w:p>
    <w:p w14:paraId="3C22F732" w14:textId="77777777" w:rsidR="00FC2A97" w:rsidRPr="00FC2A97" w:rsidRDefault="00FC2A97" w:rsidP="00FC2A97">
      <w:pPr>
        <w:autoSpaceDE w:val="0"/>
        <w:autoSpaceDN w:val="0"/>
        <w:adjustRightInd w:val="0"/>
        <w:ind w:firstLine="720"/>
        <w:rPr>
          <w:rFonts w:eastAsia="Calibri"/>
        </w:rPr>
      </w:pPr>
    </w:p>
    <w:p w14:paraId="24721A46" w14:textId="645BAEC2" w:rsidR="00FC2A97" w:rsidRPr="00FC2A97" w:rsidRDefault="00FC2A97" w:rsidP="00FC2A97">
      <w:pPr>
        <w:autoSpaceDE w:val="0"/>
        <w:autoSpaceDN w:val="0"/>
        <w:adjustRightInd w:val="0"/>
        <w:rPr>
          <w:rFonts w:eastAsia="Calibri"/>
        </w:rPr>
      </w:pPr>
      <w:r w:rsidRPr="00FC2A97">
        <w:rPr>
          <w:rFonts w:eastAsia="Calibri"/>
        </w:rPr>
        <w:t>Company</w:t>
      </w:r>
      <w:r>
        <w:rPr>
          <w:rFonts w:eastAsia="Calibri"/>
        </w:rPr>
        <w:t xml:space="preserve"> </w:t>
      </w:r>
      <w:r w:rsidRPr="00FC2A97">
        <w:rPr>
          <w:rFonts w:eastAsia="Calibri"/>
        </w:rPr>
        <w:t>value</w:t>
      </w:r>
    </w:p>
    <w:p w14:paraId="4866B27E" w14:textId="77777777" w:rsidR="00FC2A97" w:rsidRPr="00FC2A97" w:rsidRDefault="00FC2A97" w:rsidP="00FC2A97">
      <w:pPr>
        <w:autoSpaceDE w:val="0"/>
        <w:autoSpaceDN w:val="0"/>
        <w:adjustRightInd w:val="0"/>
        <w:ind w:firstLine="720"/>
        <w:rPr>
          <w:rFonts w:eastAsia="Calibri"/>
        </w:rPr>
      </w:pPr>
    </w:p>
    <w:p w14:paraId="26DA550E" w14:textId="3A8222BB" w:rsidR="00FC2A97" w:rsidRPr="00FC2A97" w:rsidRDefault="00FC2A97" w:rsidP="00237FA9">
      <w:pPr>
        <w:autoSpaceDE w:val="0"/>
        <w:autoSpaceDN w:val="0"/>
        <w:adjustRightInd w:val="0"/>
        <w:ind w:firstLine="720"/>
        <w:rPr>
          <w:rFonts w:eastAsia="Calibri"/>
        </w:rPr>
      </w:pPr>
      <w:r w:rsidRPr="00FC2A97">
        <w:rPr>
          <w:rFonts w:eastAsia="Calibri"/>
        </w:rPr>
        <w:t xml:space="preserve"> Understanding the value of the company according to Husnan </w:t>
      </w:r>
      <w:r w:rsidR="007B2688">
        <w:rPr>
          <w:rFonts w:eastAsia="Calibri"/>
        </w:rPr>
        <w:fldChar w:fldCharType="begin" w:fldLock="1"/>
      </w:r>
      <w:r w:rsidR="007B2688">
        <w:rPr>
          <w:rFonts w:eastAsia="Calibri"/>
        </w:rPr>
        <w:instrText>ADDIN CSL_CITATION { "citationItems" : [ { "id" : "ITEM-1", "itemData" : { "author" : [ { "dropping-particle" : "", "family" : "Husnan", "given" : "Saud", "non-dropping-particle" : "", "parse-names" : false, "suffix" : "" } ], "id" : "ITEM-1", "issued" : { "date-parts" : [ [ "2015" ] ] }, "publisher" : "BPFE", "publisher-place" : "Yogyakarta", "title" : "Manajemen Keuangan: Teori dan Penerapan", "type" : "book" }, "uris" : [ "http://www.mendeley.com/documents/?uuid=01eee44f-1d1d-44df-9471-33352145f0d4" ] } ], "mendeley" : { "formattedCitation" : "[10]", "plainTextFormattedCitation" : "[10]", "previouslyFormattedCitation" : "[10]" }, "properties" : { "noteIndex" : 2 }, "schema" : "https://github.com/citation-style-language/schema/raw/master/csl-citation.json" }</w:instrText>
      </w:r>
      <w:r w:rsidR="007B2688">
        <w:rPr>
          <w:rFonts w:eastAsia="Calibri"/>
        </w:rPr>
        <w:fldChar w:fldCharType="separate"/>
      </w:r>
      <w:r w:rsidR="007B2688" w:rsidRPr="007B2688">
        <w:rPr>
          <w:rFonts w:eastAsia="Calibri"/>
          <w:noProof/>
        </w:rPr>
        <w:t>[10]</w:t>
      </w:r>
      <w:r w:rsidR="007B2688">
        <w:rPr>
          <w:rFonts w:eastAsia="Calibri"/>
        </w:rPr>
        <w:fldChar w:fldCharType="end"/>
      </w:r>
      <w:r w:rsidRPr="00FC2A97">
        <w:rPr>
          <w:rFonts w:eastAsia="Calibri"/>
        </w:rPr>
        <w:t xml:space="preserve"> This is the price that potential buyers are willing to pay when the company sells. The higher the value of the </w:t>
      </w:r>
      <w:r w:rsidRPr="00FC2A97">
        <w:rPr>
          <w:rFonts w:eastAsia="Calibri"/>
        </w:rPr>
        <w:lastRenderedPageBreak/>
        <w:t xml:space="preserve">company, the more prosperity the owner of the company will enjoy. According to Suad </w:t>
      </w:r>
      <w:r w:rsidR="00D14DF3">
        <w:rPr>
          <w:rFonts w:eastAsia="Calibri"/>
        </w:rPr>
        <w:fldChar w:fldCharType="begin" w:fldLock="1"/>
      </w:r>
      <w:r w:rsidR="007B2688">
        <w:rPr>
          <w:rFonts w:eastAsia="Calibri"/>
        </w:rPr>
        <w:instrText>ADDIN CSL_CITATION { "citationItems" : [ { "id" : "ITEM-1", "itemData" : { "author" : [ { "dropping-particle" : "", "family" : "Ranupandojo", "given" : "", "non-dropping-particle" : "", "parse-names" : false, "suffix" : "" }, { "dropping-particle" : "", "family" : "Suad Husnan", "given" : "", "non-dropping-particle" : "", "parse-names" : false, "suffix" : "" } ], "id" : "ITEM-1", "issued" : { "date-parts" : [ [ "2011" ] ] }, "publisher" : "BPFE", "publisher-place" : "Yogyakarta", "title" : "Manajemen Personalia", "type" : "book" }, "uris" : [ "http://www.mendeley.com/documents/?uuid=ba280a22-1306-4609-8f4d-f52d1075740e" ] } ], "mendeley" : { "formattedCitation" : "[11]", "plainTextFormattedCitation" : "[11]", "previouslyFormattedCitation" : "[11]" }, "properties" : { "noteIndex" : 3 }, "schema" : "https://github.com/citation-style-language/schema/raw/master/csl-citation.json" }</w:instrText>
      </w:r>
      <w:r w:rsidR="00D14DF3">
        <w:rPr>
          <w:rFonts w:eastAsia="Calibri"/>
        </w:rPr>
        <w:fldChar w:fldCharType="separate"/>
      </w:r>
      <w:r w:rsidR="007B2688" w:rsidRPr="007B2688">
        <w:rPr>
          <w:rFonts w:eastAsia="Calibri"/>
          <w:noProof/>
        </w:rPr>
        <w:t>[11]</w:t>
      </w:r>
      <w:r w:rsidR="00D14DF3">
        <w:rPr>
          <w:rFonts w:eastAsia="Calibri"/>
        </w:rPr>
        <w:fldChar w:fldCharType="end"/>
      </w:r>
      <w:r w:rsidRPr="00FC2A97">
        <w:rPr>
          <w:rFonts w:eastAsia="Calibri"/>
        </w:rPr>
        <w:t xml:space="preserve"> Firm value is the price potential buyers are willing to pay. Firm value is defined as investors' perception of the company's level of success in managing its resources.</w:t>
      </w:r>
    </w:p>
    <w:p w14:paraId="33C86298" w14:textId="3FDFD2F0" w:rsidR="00147F82" w:rsidRPr="000D577A" w:rsidRDefault="007B2688" w:rsidP="00FC2A97">
      <w:pPr>
        <w:autoSpaceDE w:val="0"/>
        <w:autoSpaceDN w:val="0"/>
        <w:adjustRightInd w:val="0"/>
        <w:ind w:firstLine="720"/>
        <w:rPr>
          <w:szCs w:val="22"/>
        </w:rPr>
      </w:pPr>
      <w:r>
        <w:rPr>
          <w:rFonts w:eastAsia="Calibri"/>
        </w:rPr>
        <w:t xml:space="preserve">Firm </w:t>
      </w:r>
      <w:r w:rsidR="00FC2A97" w:rsidRPr="00FC2A97">
        <w:rPr>
          <w:rFonts w:eastAsia="Calibri"/>
        </w:rPr>
        <w:t>value is the result of management work in various fields (ie, net cash flow, growth and cost of capital). The indicator of company value is the stock price. The higher the stock price, the higher the value of the company. You can see a company's va</w:t>
      </w:r>
      <w:r>
        <w:rPr>
          <w:rFonts w:eastAsia="Calibri"/>
        </w:rPr>
        <w:t xml:space="preserve">lue by calculating its price to </w:t>
      </w:r>
      <w:r w:rsidR="00FC2A97" w:rsidRPr="00FC2A97">
        <w:rPr>
          <w:rFonts w:eastAsia="Calibri"/>
        </w:rPr>
        <w:t>book ratio (PBV)</w:t>
      </w:r>
      <w:r>
        <w:rPr>
          <w:rFonts w:eastAsia="Calibri"/>
        </w:rPr>
        <w:t xml:space="preserve"> </w:t>
      </w:r>
      <w:r>
        <w:rPr>
          <w:rFonts w:eastAsia="Calibri"/>
        </w:rPr>
        <w:fldChar w:fldCharType="begin" w:fldLock="1"/>
      </w:r>
      <w:r>
        <w:rPr>
          <w:rFonts w:eastAsia="Calibri"/>
        </w:rPr>
        <w:instrText>ADDIN CSL_CITATION { "citationItems" : [ { "id" : "ITEM-1", "itemData" : { "author" : [ { "dropping-particle" : "", "family" : "Prasetyo", "given" : "Aries Heru", "non-dropping-particle" : "", "parse-names" : false, "suffix" : "" } ], "editor" : [ { "dropping-particle" : "", "family" : "PPM", "given" : "", "non-dropping-particle" : "", "parse-names" : false, "suffix" : "" } ], "id" : "ITEM-1", "issued" : { "date-parts" : [ [ "2011" ] ] }, "publisher" : "PPM", "publisher-place" : "Jakarta", "title" : "Valuasi Perusahaan", "type" : "book" }, "uris" : [ "http://www.mendeley.com/documents/?uuid=6f73e9f8-7de0-4e07-bc54-706dff8492ac" ] } ], "mendeley" : { "formattedCitation" : "[5]", "plainTextFormattedCitation" : "[5]", "previouslyFormattedCitation" : "[5]" }, "properties" : { "noteIndex" : 3 }, "schema" : "https://github.com/citation-style-language/schema/raw/master/csl-citation.json" }</w:instrText>
      </w:r>
      <w:r>
        <w:rPr>
          <w:rFonts w:eastAsia="Calibri"/>
        </w:rPr>
        <w:fldChar w:fldCharType="separate"/>
      </w:r>
      <w:r w:rsidRPr="007B2688">
        <w:rPr>
          <w:rFonts w:eastAsia="Calibri"/>
          <w:noProof/>
        </w:rPr>
        <w:t>[5]</w:t>
      </w:r>
      <w:r>
        <w:rPr>
          <w:rFonts w:eastAsia="Calibri"/>
        </w:rPr>
        <w:fldChar w:fldCharType="end"/>
      </w:r>
      <w:r w:rsidR="00147F82" w:rsidRPr="000D577A">
        <w:rPr>
          <w:szCs w:val="22"/>
        </w:rPr>
        <w:t>.</w:t>
      </w:r>
    </w:p>
    <w:p w14:paraId="2D035C51" w14:textId="2748A1FB" w:rsidR="004E62C7" w:rsidRPr="00BF23E9" w:rsidRDefault="00F2211D" w:rsidP="00237FA9">
      <w:pPr>
        <w:pStyle w:val="Heading1"/>
        <w:rPr>
          <w:rFonts w:eastAsia="Calibri"/>
          <w:lang w:val="en-US"/>
        </w:rPr>
      </w:pPr>
      <w:r w:rsidRPr="004F259E">
        <w:rPr>
          <w:rFonts w:eastAsia="Calibri"/>
        </w:rPr>
        <w:t xml:space="preserve">2. </w:t>
      </w:r>
      <w:r w:rsidR="00602E96" w:rsidRPr="004F259E">
        <w:rPr>
          <w:rFonts w:eastAsia="Calibri"/>
        </w:rPr>
        <w:t>Met</w:t>
      </w:r>
      <w:r w:rsidR="00BF23E9">
        <w:rPr>
          <w:rFonts w:eastAsia="Calibri"/>
          <w:lang w:val="en-US"/>
        </w:rPr>
        <w:t>hod</w:t>
      </w:r>
      <w:r w:rsidR="0073211A">
        <w:rPr>
          <w:rFonts w:eastAsia="Calibri"/>
          <w:lang w:val="en-US"/>
        </w:rPr>
        <w:t xml:space="preserve"> </w:t>
      </w:r>
    </w:p>
    <w:p w14:paraId="318C4F71" w14:textId="410D6901" w:rsidR="001543F4" w:rsidRPr="000D577A" w:rsidRDefault="00FC2A97" w:rsidP="000D577A">
      <w:pPr>
        <w:pStyle w:val="ListParagraph"/>
        <w:spacing w:line="240" w:lineRule="auto"/>
        <w:ind w:left="0" w:firstLine="567"/>
        <w:rPr>
          <w:rFonts w:ascii="Times New Roman" w:hAnsi="Times New Roman"/>
        </w:rPr>
      </w:pPr>
      <w:r w:rsidRPr="00FC2A97">
        <w:rPr>
          <w:rFonts w:ascii="Times New Roman" w:hAnsi="Times New Roman"/>
        </w:rPr>
        <w:t>The research method used in this research is descriptive method. Descriptive research is research that aims to explain the existence of phenomena by using numbers to explain the characteristics of individuals or groups. This study assesses the nature of the situation</w:t>
      </w:r>
      <w:r w:rsidR="00D14DF3">
        <w:rPr>
          <w:rFonts w:ascii="Times New Roman" w:hAnsi="Times New Roman"/>
        </w:rPr>
        <w:t xml:space="preserve"> </w:t>
      </w:r>
      <w:r w:rsidR="00D14DF3">
        <w:rPr>
          <w:rFonts w:ascii="Times New Roman" w:hAnsi="Times New Roman"/>
        </w:rPr>
        <w:fldChar w:fldCharType="begin" w:fldLock="1"/>
      </w:r>
      <w:r w:rsidR="007B2688">
        <w:rPr>
          <w:rFonts w:ascii="Times New Roman" w:hAnsi="Times New Roman"/>
        </w:rPr>
        <w:instrText>ADDIN CSL_CITATION { "citationItems" : [ { "id" : "ITEM-1", "itemData" : { "author" : [ { "dropping-particle" : "", "family" : "Sugiyono", "given" : "", "non-dropping-particle" : "", "parse-names" : false, "suffix" : "" } ], "id" : "ITEM-1", "issued" : { "date-parts" : [ [ "2015" ] ] }, "publisher" : "Alfabeta", "publisher-place" : "Bandung", "title" : "Metode Penelitian Pendekatan Kuantitatif dan Kualitatif dan R&amp;D", "type" : "book" }, "uris" : [ "http://www.mendeley.com/documents/?uuid=c180dd79-e912-462a-8f54-38b8645991a7" ] } ], "mendeley" : { "formattedCitation" : "[12]", "plainTextFormattedCitation" : "[12]", "previouslyFormattedCitation" : "[12]" }, "properties" : { "noteIndex" : 3 }, "schema" : "https://github.com/citation-style-language/schema/raw/master/csl-citation.json" }</w:instrText>
      </w:r>
      <w:r w:rsidR="00D14DF3">
        <w:rPr>
          <w:rFonts w:ascii="Times New Roman" w:hAnsi="Times New Roman"/>
        </w:rPr>
        <w:fldChar w:fldCharType="separate"/>
      </w:r>
      <w:r w:rsidR="007B2688" w:rsidRPr="007B2688">
        <w:rPr>
          <w:rFonts w:ascii="Times New Roman" w:hAnsi="Times New Roman"/>
          <w:noProof/>
        </w:rPr>
        <w:t>[12]</w:t>
      </w:r>
      <w:r w:rsidR="00D14DF3">
        <w:rPr>
          <w:rFonts w:ascii="Times New Roman" w:hAnsi="Times New Roman"/>
        </w:rPr>
        <w:fldChar w:fldCharType="end"/>
      </w:r>
      <w:r w:rsidRPr="00FC2A97">
        <w:rPr>
          <w:rFonts w:ascii="Times New Roman" w:hAnsi="Times New Roman"/>
        </w:rPr>
        <w:t>. The population of this study are all publicly released in the pulp and paper sub-sector on the Indonesia Stock Exchange, and there are 7 companies. Data collection uses the recording method, which is to clarify and classify written materials related to research questions to study the required documents or data, and then record and calculate. Document data in the form of financial reports from 7 pulp and paper sub-sectors listed on the Indonesia Stock Exchange, including balance sheets and company income statements</w:t>
      </w:r>
      <w:r w:rsidR="000940CC" w:rsidRPr="000940CC">
        <w:rPr>
          <w:rFonts w:ascii="Times New Roman" w:hAnsi="Times New Roman"/>
        </w:rPr>
        <w:t>.</w:t>
      </w:r>
    </w:p>
    <w:p w14:paraId="4D5080F8" w14:textId="394386D5" w:rsidR="001543F4" w:rsidRPr="001543F4" w:rsidRDefault="000940CC" w:rsidP="001543F4">
      <w:pPr>
        <w:pStyle w:val="ListParagraph"/>
        <w:spacing w:line="240" w:lineRule="auto"/>
        <w:ind w:left="0" w:firstLine="567"/>
        <w:rPr>
          <w:rFonts w:ascii="Times New Roman" w:hAnsi="Times New Roman"/>
        </w:rPr>
      </w:pPr>
      <w:r>
        <w:rPr>
          <w:rFonts w:ascii="Times New Roman" w:hAnsi="Times New Roman"/>
          <w:noProof/>
          <w:sz w:val="24"/>
          <w:szCs w:val="24"/>
        </w:rPr>
        <mc:AlternateContent>
          <mc:Choice Requires="wpg">
            <w:drawing>
              <wp:anchor distT="0" distB="0" distL="114300" distR="114300" simplePos="0" relativeHeight="251664896" behindDoc="0" locked="0" layoutInCell="1" allowOverlap="1" wp14:anchorId="4FF8B4F2" wp14:editId="071F0198">
                <wp:simplePos x="0" y="0"/>
                <wp:positionH relativeFrom="column">
                  <wp:posOffset>599355</wp:posOffset>
                </wp:positionH>
                <wp:positionV relativeFrom="paragraph">
                  <wp:posOffset>141658</wp:posOffset>
                </wp:positionV>
                <wp:extent cx="4199068" cy="548261"/>
                <wp:effectExtent l="0" t="0" r="11430" b="23495"/>
                <wp:wrapNone/>
                <wp:docPr id="32" name="Group 32"/>
                <wp:cNvGraphicFramePr/>
                <a:graphic xmlns:a="http://schemas.openxmlformats.org/drawingml/2006/main">
                  <a:graphicData uri="http://schemas.microsoft.com/office/word/2010/wordprocessingGroup">
                    <wpg:wgp>
                      <wpg:cNvGrpSpPr/>
                      <wpg:grpSpPr>
                        <a:xfrm>
                          <a:off x="0" y="0"/>
                          <a:ext cx="4199068" cy="548261"/>
                          <a:chOff x="0" y="0"/>
                          <a:chExt cx="4199068" cy="548261"/>
                        </a:xfrm>
                      </wpg:grpSpPr>
                      <wps:wsp>
                        <wps:cNvPr id="5" name="Text Box 23"/>
                        <wps:cNvSpPr txBox="1">
                          <a:spLocks noChangeArrowheads="1"/>
                        </wps:cNvSpPr>
                        <wps:spPr bwMode="auto">
                          <a:xfrm>
                            <a:off x="2796988" y="30736"/>
                            <a:ext cx="1402080" cy="517525"/>
                          </a:xfrm>
                          <a:prstGeom prst="rect">
                            <a:avLst/>
                          </a:prstGeom>
                          <a:solidFill>
                            <a:srgbClr val="FFFFFF"/>
                          </a:solidFill>
                          <a:ln w="9525">
                            <a:solidFill>
                              <a:srgbClr val="000000"/>
                            </a:solidFill>
                            <a:miter lim="800000"/>
                            <a:headEnd/>
                            <a:tailEnd/>
                          </a:ln>
                        </wps:spPr>
                        <wps:txbx>
                          <w:txbxContent>
                            <w:p w14:paraId="1E832F63" w14:textId="2A55F57E" w:rsidR="000940CC" w:rsidRPr="0084376F" w:rsidRDefault="00FC2A97" w:rsidP="000940CC">
                              <w:pPr>
                                <w:jc w:val="center"/>
                                <w:rPr>
                                  <w:sz w:val="24"/>
                                  <w:szCs w:val="24"/>
                                </w:rPr>
                              </w:pPr>
                              <w:r>
                                <w:rPr>
                                  <w:sz w:val="24"/>
                                  <w:szCs w:val="24"/>
                                </w:rPr>
                                <w:t>Company Value</w:t>
                              </w:r>
                              <w:r w:rsidR="000940CC">
                                <w:rPr>
                                  <w:sz w:val="24"/>
                                  <w:szCs w:val="24"/>
                                </w:rPr>
                                <w:t xml:space="preserve"> </w:t>
                              </w:r>
                              <w:r w:rsidR="000940CC" w:rsidRPr="0084376F">
                                <w:rPr>
                                  <w:sz w:val="24"/>
                                  <w:szCs w:val="24"/>
                                </w:rPr>
                                <w:t>(Y)</w:t>
                              </w:r>
                            </w:p>
                          </w:txbxContent>
                        </wps:txbx>
                        <wps:bodyPr rot="0" vert="horz" wrap="square" lIns="91440" tIns="45720" rIns="91440" bIns="45720" anchor="t" anchorCtr="0" upright="1">
                          <a:noAutofit/>
                        </wps:bodyPr>
                      </wps:wsp>
                      <wps:wsp>
                        <wps:cNvPr id="2" name="Text Box 21"/>
                        <wps:cNvSpPr txBox="1">
                          <a:spLocks noChangeArrowheads="1"/>
                        </wps:cNvSpPr>
                        <wps:spPr bwMode="auto">
                          <a:xfrm>
                            <a:off x="0" y="0"/>
                            <a:ext cx="1456055" cy="508635"/>
                          </a:xfrm>
                          <a:prstGeom prst="rect">
                            <a:avLst/>
                          </a:prstGeom>
                          <a:solidFill>
                            <a:srgbClr val="FFFFFF"/>
                          </a:solidFill>
                          <a:ln w="9525">
                            <a:solidFill>
                              <a:srgbClr val="000000"/>
                            </a:solidFill>
                            <a:miter lim="800000"/>
                            <a:headEnd/>
                            <a:tailEnd/>
                          </a:ln>
                        </wps:spPr>
                        <wps:txbx>
                          <w:txbxContent>
                            <w:p w14:paraId="29BDAB47" w14:textId="65ECF242" w:rsidR="000940CC" w:rsidRPr="0084376F" w:rsidRDefault="00FC2A97" w:rsidP="000940CC">
                              <w:pPr>
                                <w:jc w:val="center"/>
                                <w:rPr>
                                  <w:sz w:val="24"/>
                                  <w:szCs w:val="24"/>
                                </w:rPr>
                              </w:pPr>
                              <w:r>
                                <w:rPr>
                                  <w:sz w:val="24"/>
                                  <w:szCs w:val="24"/>
                                </w:rPr>
                                <w:t>Debt Policy</w:t>
                              </w:r>
                              <w:r w:rsidR="000940CC">
                                <w:rPr>
                                  <w:sz w:val="24"/>
                                  <w:szCs w:val="24"/>
                                </w:rPr>
                                <w:t xml:space="preserve"> </w:t>
                              </w:r>
                              <w:r w:rsidR="000940CC" w:rsidRPr="0084376F">
                                <w:rPr>
                                  <w:sz w:val="24"/>
                                  <w:szCs w:val="24"/>
                                </w:rPr>
                                <w:t>(X)</w:t>
                              </w:r>
                            </w:p>
                          </w:txbxContent>
                        </wps:txbx>
                        <wps:bodyPr rot="0" vert="horz" wrap="square" lIns="91440" tIns="45720" rIns="91440" bIns="45720" anchor="t" anchorCtr="0" upright="1">
                          <a:noAutofit/>
                        </wps:bodyPr>
                      </wps:wsp>
                      <wps:wsp>
                        <wps:cNvPr id="9" name="Straight Arrow Connector 9"/>
                        <wps:cNvCnPr>
                          <a:cxnSpLocks/>
                        </wps:cNvCnPr>
                        <wps:spPr>
                          <a:xfrm>
                            <a:off x="1513754" y="252933"/>
                            <a:ext cx="12827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FF8B4F2" id="Group 32" o:spid="_x0000_s1026" style="position:absolute;left:0;text-align:left;margin-left:47.2pt;margin-top:11.15pt;width:330.65pt;height:43.15pt;z-index:251664896" coordsize="4199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">
                <v:shapetype id="_x0000_t202" coordsize="21600,21600" o:spt="202" path="m,l,21600r21600,l21600,xe">
                  <v:stroke joinstyle="miter"/>
                  <v:path gradientshapeok="t" o:connecttype="rect"/>
                </v:shapetype>
                <v:shape id="Text Box 23" o:spid="_x0000_s1027" type="#_x0000_t202" style="position:absolute;left:27969;top:307;width:14021;height:5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1E832F63" w14:textId="2A55F57E" w:rsidR="000940CC" w:rsidRPr="0084376F" w:rsidRDefault="00FC2A97" w:rsidP="000940CC">
                        <w:pPr>
                          <w:jc w:val="center"/>
                          <w:rPr>
                            <w:sz w:val="24"/>
                            <w:szCs w:val="24"/>
                          </w:rPr>
                        </w:pPr>
                        <w:r>
                          <w:rPr>
                            <w:sz w:val="24"/>
                            <w:szCs w:val="24"/>
                          </w:rPr>
                          <w:t>Company Value</w:t>
                        </w:r>
                        <w:r w:rsidR="000940CC">
                          <w:rPr>
                            <w:sz w:val="24"/>
                            <w:szCs w:val="24"/>
                          </w:rPr>
                          <w:t xml:space="preserve"> </w:t>
                        </w:r>
                        <w:r w:rsidR="000940CC" w:rsidRPr="0084376F">
                          <w:rPr>
                            <w:sz w:val="24"/>
                            <w:szCs w:val="24"/>
                          </w:rPr>
                          <w:t>(Y)</w:t>
                        </w:r>
                      </w:p>
                    </w:txbxContent>
                  </v:textbox>
                </v:shape>
                <v:shape id="Text Box 21" o:spid="_x0000_s1028" type="#_x0000_t202" style="position:absolute;width:14560;height:5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29BDAB47" w14:textId="65ECF242" w:rsidR="000940CC" w:rsidRPr="0084376F" w:rsidRDefault="00FC2A97" w:rsidP="000940CC">
                        <w:pPr>
                          <w:jc w:val="center"/>
                          <w:rPr>
                            <w:sz w:val="24"/>
                            <w:szCs w:val="24"/>
                          </w:rPr>
                        </w:pPr>
                        <w:r>
                          <w:rPr>
                            <w:sz w:val="24"/>
                            <w:szCs w:val="24"/>
                          </w:rPr>
                          <w:t>Debt Policy</w:t>
                        </w:r>
                        <w:r w:rsidR="000940CC">
                          <w:rPr>
                            <w:sz w:val="24"/>
                            <w:szCs w:val="24"/>
                          </w:rPr>
                          <w:t xml:space="preserve"> </w:t>
                        </w:r>
                        <w:r w:rsidR="000940CC" w:rsidRPr="0084376F">
                          <w:rPr>
                            <w:sz w:val="24"/>
                            <w:szCs w:val="24"/>
                          </w:rPr>
                          <w:t>(X)</w:t>
                        </w:r>
                      </w:p>
                    </w:txbxContent>
                  </v:textbox>
                </v:shape>
                <v:shapetype id="_x0000_t32" coordsize="21600,21600" o:spt="32" o:oned="t" path="m,l21600,21600e" filled="f">
                  <v:path arrowok="t" fillok="f" o:connecttype="none"/>
                  <o:lock v:ext="edit" shapetype="t"/>
                </v:shapetype>
                <v:shape id="Straight Arrow Connector 9" o:spid="_x0000_s1029" type="#_x0000_t32" style="position:absolute;left:15137;top:2529;width:128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0hf8QAAADaAAAADwAAAGRycy9kb3ducmV2LnhtbESPQUvDQBSE74L/YXmF3symHqSN3Rat&#10;CNJTTVvE2yP7zEazb9PdbRL/vSsUehxm5htmuR5tK3ryoXGsYJblIIgrpxuuFRz2r3dzECEia2wd&#10;k4JfCrBe3d4ssdBu4Hfqy1iLBOFQoAITY1dIGSpDFkPmOuLkfTlvMSbpa6k9DgluW3mf5w/SYsNp&#10;wWBHG0PVT3m2Ctp+O5yO5++Tedn1+3Lz8WmefafUdDI+PYKINMZr+NJ+0woW8H8l3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nSF/xAAAANoAAAAPAAAAAAAAAAAA&#10;AAAAAKECAABkcnMvZG93bnJldi54bWxQSwUGAAAAAAQABAD5AAAAkgMAAAAA&#10;" strokecolor="black [3213]">
                  <v:stroke endarrow="block"/>
                  <o:lock v:ext="edit" shapetype="f"/>
                </v:shape>
              </v:group>
            </w:pict>
          </mc:Fallback>
        </mc:AlternateContent>
      </w:r>
    </w:p>
    <w:p w14:paraId="2262DC93" w14:textId="3B0B3D82" w:rsidR="00B478B1" w:rsidRPr="00844BFB" w:rsidRDefault="00B478B1" w:rsidP="00B478B1">
      <w:pPr>
        <w:tabs>
          <w:tab w:val="left" w:pos="567"/>
        </w:tabs>
        <w:autoSpaceDE w:val="0"/>
        <w:autoSpaceDN w:val="0"/>
        <w:adjustRightInd w:val="0"/>
        <w:spacing w:line="480" w:lineRule="auto"/>
        <w:rPr>
          <w:sz w:val="24"/>
          <w:szCs w:val="24"/>
        </w:rPr>
      </w:pPr>
    </w:p>
    <w:p w14:paraId="64EB4CA5" w14:textId="77777777" w:rsidR="00B478B1" w:rsidRDefault="00B478B1" w:rsidP="009C61AB">
      <w:pPr>
        <w:pStyle w:val="Heading1"/>
        <w:rPr>
          <w:rFonts w:eastAsia="Calibri"/>
        </w:rPr>
      </w:pPr>
    </w:p>
    <w:p w14:paraId="0441D5B1" w14:textId="78235ACE" w:rsidR="000940CC" w:rsidRPr="000D577A" w:rsidRDefault="00FC2A97" w:rsidP="000D577A">
      <w:pPr>
        <w:pStyle w:val="ListParagraph"/>
        <w:spacing w:line="480" w:lineRule="auto"/>
        <w:ind w:left="0"/>
        <w:jc w:val="center"/>
        <w:rPr>
          <w:rFonts w:ascii="Times New Roman" w:hAnsi="Times New Roman"/>
          <w:b/>
        </w:rPr>
      </w:pPr>
      <w:r w:rsidRPr="00FC2A97">
        <w:rPr>
          <w:rFonts w:ascii="Times New Roman" w:hAnsi="Times New Roman"/>
          <w:b/>
        </w:rPr>
        <w:t>Figure 1. Simple Regression Structure</w:t>
      </w:r>
    </w:p>
    <w:p w14:paraId="1B9688EE" w14:textId="6DACDC14" w:rsidR="004E62C7" w:rsidRDefault="00BF23E9" w:rsidP="001543F4">
      <w:pPr>
        <w:pStyle w:val="Heading1"/>
        <w:numPr>
          <w:ilvl w:val="0"/>
          <w:numId w:val="23"/>
        </w:numPr>
        <w:rPr>
          <w:rFonts w:eastAsia="Calibri"/>
          <w:lang w:val="en-US"/>
        </w:rPr>
      </w:pPr>
      <w:r>
        <w:rPr>
          <w:rFonts w:eastAsia="Calibri"/>
          <w:lang w:val="en-US"/>
        </w:rPr>
        <w:t>Results and Discussion</w:t>
      </w:r>
    </w:p>
    <w:p w14:paraId="0CCE9EC0" w14:textId="41AE4D79" w:rsidR="001543F4" w:rsidRDefault="001543F4" w:rsidP="001543F4">
      <w:pPr>
        <w:jc w:val="center"/>
        <w:rPr>
          <w:b/>
          <w:bCs/>
        </w:rPr>
      </w:pPr>
      <w:r w:rsidRPr="001543F4">
        <w:rPr>
          <w:b/>
          <w:bCs/>
        </w:rPr>
        <w:t xml:space="preserve">Tabel 1. </w:t>
      </w:r>
      <w:r w:rsidR="00D13141" w:rsidRPr="00D13141">
        <w:rPr>
          <w:b/>
          <w:bCs/>
        </w:rPr>
        <w:t>Simple Regression Test</w:t>
      </w:r>
    </w:p>
    <w:p w14:paraId="5EC2A603" w14:textId="77777777" w:rsidR="000940CC" w:rsidRPr="001543F4" w:rsidRDefault="000940CC" w:rsidP="001543F4">
      <w:pPr>
        <w:jc w:val="center"/>
        <w:rPr>
          <w:rFonts w:eastAsia="Calibri"/>
          <w:b/>
          <w:bCs/>
        </w:rPr>
      </w:pPr>
    </w:p>
    <w:tbl>
      <w:tblPr>
        <w:tblW w:w="7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5"/>
        <w:gridCol w:w="1553"/>
        <w:gridCol w:w="1154"/>
        <w:gridCol w:w="1155"/>
        <w:gridCol w:w="1274"/>
        <w:gridCol w:w="889"/>
        <w:gridCol w:w="890"/>
      </w:tblGrid>
      <w:tr w:rsidR="000940CC" w:rsidRPr="004840A2" w14:paraId="4F8E7AE9" w14:textId="77777777" w:rsidTr="009870DE">
        <w:trPr>
          <w:cantSplit/>
          <w:trHeight w:val="288"/>
          <w:jc w:val="center"/>
        </w:trPr>
        <w:tc>
          <w:tcPr>
            <w:tcW w:w="7550" w:type="dxa"/>
            <w:gridSpan w:val="7"/>
            <w:shd w:val="clear" w:color="auto" w:fill="FFFFFF"/>
            <w:vAlign w:val="center"/>
          </w:tcPr>
          <w:p w14:paraId="1882088B" w14:textId="77777777" w:rsidR="000940CC" w:rsidRPr="004840A2" w:rsidRDefault="000940CC" w:rsidP="009870DE">
            <w:pPr>
              <w:autoSpaceDE w:val="0"/>
              <w:autoSpaceDN w:val="0"/>
              <w:adjustRightInd w:val="0"/>
              <w:spacing w:line="320" w:lineRule="atLeast"/>
              <w:ind w:left="60" w:right="60"/>
              <w:jc w:val="center"/>
            </w:pPr>
            <w:r w:rsidRPr="004840A2">
              <w:rPr>
                <w:b/>
                <w:bCs/>
              </w:rPr>
              <w:t>Coefficients</w:t>
            </w:r>
            <w:r w:rsidRPr="004840A2">
              <w:rPr>
                <w:b/>
                <w:bCs/>
                <w:vertAlign w:val="superscript"/>
              </w:rPr>
              <w:t>a</w:t>
            </w:r>
          </w:p>
        </w:tc>
      </w:tr>
      <w:tr w:rsidR="000940CC" w:rsidRPr="004840A2" w14:paraId="75E8F530" w14:textId="77777777" w:rsidTr="00FC2A97">
        <w:trPr>
          <w:cantSplit/>
          <w:trHeight w:val="576"/>
          <w:jc w:val="center"/>
        </w:trPr>
        <w:tc>
          <w:tcPr>
            <w:tcW w:w="2188" w:type="dxa"/>
            <w:gridSpan w:val="2"/>
            <w:vMerge w:val="restart"/>
            <w:shd w:val="clear" w:color="auto" w:fill="FFFFFF"/>
            <w:vAlign w:val="bottom"/>
          </w:tcPr>
          <w:p w14:paraId="280E2240" w14:textId="77777777" w:rsidR="000940CC" w:rsidRPr="004840A2" w:rsidRDefault="000940CC" w:rsidP="009870DE">
            <w:pPr>
              <w:autoSpaceDE w:val="0"/>
              <w:autoSpaceDN w:val="0"/>
              <w:adjustRightInd w:val="0"/>
              <w:spacing w:line="320" w:lineRule="atLeast"/>
              <w:ind w:left="60" w:right="60"/>
              <w:rPr>
                <w:sz w:val="18"/>
                <w:szCs w:val="18"/>
              </w:rPr>
            </w:pPr>
            <w:r w:rsidRPr="004840A2">
              <w:rPr>
                <w:sz w:val="18"/>
                <w:szCs w:val="18"/>
              </w:rPr>
              <w:t>Model</w:t>
            </w:r>
          </w:p>
        </w:tc>
        <w:tc>
          <w:tcPr>
            <w:tcW w:w="2309" w:type="dxa"/>
            <w:gridSpan w:val="2"/>
            <w:shd w:val="clear" w:color="auto" w:fill="FFFFFF"/>
            <w:vAlign w:val="bottom"/>
          </w:tcPr>
          <w:p w14:paraId="4144B06A"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Unstandardized Coefficients</w:t>
            </w:r>
          </w:p>
        </w:tc>
        <w:tc>
          <w:tcPr>
            <w:tcW w:w="1274" w:type="dxa"/>
            <w:shd w:val="clear" w:color="auto" w:fill="FFFFFF"/>
            <w:vAlign w:val="bottom"/>
          </w:tcPr>
          <w:p w14:paraId="0330B112"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Standardized Coefficients</w:t>
            </w:r>
          </w:p>
        </w:tc>
        <w:tc>
          <w:tcPr>
            <w:tcW w:w="889" w:type="dxa"/>
            <w:vMerge w:val="restart"/>
            <w:shd w:val="clear" w:color="auto" w:fill="FFFFFF"/>
            <w:vAlign w:val="bottom"/>
          </w:tcPr>
          <w:p w14:paraId="7E05BBDA"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T</w:t>
            </w:r>
          </w:p>
        </w:tc>
        <w:tc>
          <w:tcPr>
            <w:tcW w:w="890" w:type="dxa"/>
            <w:vMerge w:val="restart"/>
            <w:shd w:val="clear" w:color="auto" w:fill="FFFFFF"/>
            <w:vAlign w:val="bottom"/>
          </w:tcPr>
          <w:p w14:paraId="3D04A2DE"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Sig.</w:t>
            </w:r>
          </w:p>
        </w:tc>
      </w:tr>
      <w:tr w:rsidR="000940CC" w:rsidRPr="004840A2" w14:paraId="5855EFDB" w14:textId="77777777" w:rsidTr="00FC2A97">
        <w:trPr>
          <w:cantSplit/>
          <w:trHeight w:val="301"/>
          <w:jc w:val="center"/>
        </w:trPr>
        <w:tc>
          <w:tcPr>
            <w:tcW w:w="2188" w:type="dxa"/>
            <w:gridSpan w:val="2"/>
            <w:vMerge/>
            <w:shd w:val="clear" w:color="auto" w:fill="FFFFFF"/>
            <w:vAlign w:val="bottom"/>
          </w:tcPr>
          <w:p w14:paraId="05132AC7" w14:textId="77777777" w:rsidR="000940CC" w:rsidRPr="004840A2" w:rsidRDefault="000940CC" w:rsidP="009870DE">
            <w:pPr>
              <w:autoSpaceDE w:val="0"/>
              <w:autoSpaceDN w:val="0"/>
              <w:adjustRightInd w:val="0"/>
              <w:rPr>
                <w:sz w:val="18"/>
                <w:szCs w:val="18"/>
              </w:rPr>
            </w:pPr>
          </w:p>
        </w:tc>
        <w:tc>
          <w:tcPr>
            <w:tcW w:w="1154" w:type="dxa"/>
            <w:shd w:val="clear" w:color="auto" w:fill="FFFFFF"/>
            <w:vAlign w:val="bottom"/>
          </w:tcPr>
          <w:p w14:paraId="4B5CBCFB"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B</w:t>
            </w:r>
          </w:p>
        </w:tc>
        <w:tc>
          <w:tcPr>
            <w:tcW w:w="1155" w:type="dxa"/>
            <w:shd w:val="clear" w:color="auto" w:fill="FFFFFF"/>
            <w:vAlign w:val="bottom"/>
          </w:tcPr>
          <w:p w14:paraId="3FCAB4DD"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Std. Error</w:t>
            </w:r>
          </w:p>
        </w:tc>
        <w:tc>
          <w:tcPr>
            <w:tcW w:w="1274" w:type="dxa"/>
            <w:shd w:val="clear" w:color="auto" w:fill="FFFFFF"/>
            <w:vAlign w:val="bottom"/>
          </w:tcPr>
          <w:p w14:paraId="5E89474B"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Beta</w:t>
            </w:r>
          </w:p>
        </w:tc>
        <w:tc>
          <w:tcPr>
            <w:tcW w:w="889" w:type="dxa"/>
            <w:vMerge/>
            <w:shd w:val="clear" w:color="auto" w:fill="FFFFFF"/>
            <w:vAlign w:val="bottom"/>
          </w:tcPr>
          <w:p w14:paraId="5380ED40" w14:textId="77777777" w:rsidR="000940CC" w:rsidRPr="004840A2" w:rsidRDefault="000940CC" w:rsidP="009870DE">
            <w:pPr>
              <w:autoSpaceDE w:val="0"/>
              <w:autoSpaceDN w:val="0"/>
              <w:adjustRightInd w:val="0"/>
              <w:rPr>
                <w:sz w:val="18"/>
                <w:szCs w:val="18"/>
              </w:rPr>
            </w:pPr>
          </w:p>
        </w:tc>
        <w:tc>
          <w:tcPr>
            <w:tcW w:w="890" w:type="dxa"/>
            <w:vMerge/>
            <w:shd w:val="clear" w:color="auto" w:fill="FFFFFF"/>
            <w:vAlign w:val="bottom"/>
          </w:tcPr>
          <w:p w14:paraId="141A8466" w14:textId="77777777" w:rsidR="000940CC" w:rsidRPr="004840A2" w:rsidRDefault="000940CC" w:rsidP="009870DE">
            <w:pPr>
              <w:autoSpaceDE w:val="0"/>
              <w:autoSpaceDN w:val="0"/>
              <w:adjustRightInd w:val="0"/>
              <w:rPr>
                <w:sz w:val="18"/>
                <w:szCs w:val="18"/>
              </w:rPr>
            </w:pPr>
          </w:p>
        </w:tc>
      </w:tr>
      <w:tr w:rsidR="000940CC" w:rsidRPr="004840A2" w14:paraId="3B0DB5C7" w14:textId="77777777" w:rsidTr="00FC2A97">
        <w:trPr>
          <w:cantSplit/>
          <w:trHeight w:val="288"/>
          <w:jc w:val="center"/>
        </w:trPr>
        <w:tc>
          <w:tcPr>
            <w:tcW w:w="635" w:type="dxa"/>
            <w:vMerge w:val="restart"/>
            <w:shd w:val="clear" w:color="auto" w:fill="E0E0E0"/>
          </w:tcPr>
          <w:p w14:paraId="73DF843D" w14:textId="77777777" w:rsidR="000940CC" w:rsidRPr="004840A2" w:rsidRDefault="000940CC" w:rsidP="009870DE">
            <w:pPr>
              <w:autoSpaceDE w:val="0"/>
              <w:autoSpaceDN w:val="0"/>
              <w:adjustRightInd w:val="0"/>
              <w:spacing w:line="320" w:lineRule="atLeast"/>
              <w:ind w:left="60" w:right="60"/>
              <w:rPr>
                <w:sz w:val="18"/>
                <w:szCs w:val="18"/>
              </w:rPr>
            </w:pPr>
            <w:r w:rsidRPr="004840A2">
              <w:rPr>
                <w:sz w:val="18"/>
                <w:szCs w:val="18"/>
              </w:rPr>
              <w:t>1</w:t>
            </w:r>
          </w:p>
        </w:tc>
        <w:tc>
          <w:tcPr>
            <w:tcW w:w="1553" w:type="dxa"/>
            <w:shd w:val="clear" w:color="auto" w:fill="E0E0E0"/>
          </w:tcPr>
          <w:p w14:paraId="60E116A3" w14:textId="77777777" w:rsidR="000940CC" w:rsidRPr="004840A2" w:rsidRDefault="000940CC" w:rsidP="009870DE">
            <w:pPr>
              <w:autoSpaceDE w:val="0"/>
              <w:autoSpaceDN w:val="0"/>
              <w:adjustRightInd w:val="0"/>
              <w:spacing w:line="320" w:lineRule="atLeast"/>
              <w:ind w:left="60" w:right="60"/>
              <w:rPr>
                <w:sz w:val="18"/>
                <w:szCs w:val="18"/>
              </w:rPr>
            </w:pPr>
            <w:r w:rsidRPr="004840A2">
              <w:rPr>
                <w:sz w:val="18"/>
                <w:szCs w:val="18"/>
              </w:rPr>
              <w:t>(Constant)</w:t>
            </w:r>
          </w:p>
        </w:tc>
        <w:tc>
          <w:tcPr>
            <w:tcW w:w="1154" w:type="dxa"/>
            <w:shd w:val="clear" w:color="auto" w:fill="FFFFFF"/>
          </w:tcPr>
          <w:p w14:paraId="362E5C6F"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.798</w:t>
            </w:r>
          </w:p>
        </w:tc>
        <w:tc>
          <w:tcPr>
            <w:tcW w:w="1155" w:type="dxa"/>
            <w:shd w:val="clear" w:color="auto" w:fill="FFFFFF"/>
          </w:tcPr>
          <w:p w14:paraId="2B9CD369"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1.319</w:t>
            </w:r>
          </w:p>
        </w:tc>
        <w:tc>
          <w:tcPr>
            <w:tcW w:w="1274" w:type="dxa"/>
            <w:shd w:val="clear" w:color="auto" w:fill="FFFFFF"/>
            <w:vAlign w:val="center"/>
          </w:tcPr>
          <w:p w14:paraId="3A6728C1" w14:textId="77777777" w:rsidR="000940CC" w:rsidRPr="004840A2" w:rsidRDefault="000940CC" w:rsidP="009870DE">
            <w:pPr>
              <w:autoSpaceDE w:val="0"/>
              <w:autoSpaceDN w:val="0"/>
              <w:adjustRightInd w:val="0"/>
              <w:rPr>
                <w:sz w:val="24"/>
                <w:szCs w:val="24"/>
              </w:rPr>
            </w:pPr>
          </w:p>
        </w:tc>
        <w:tc>
          <w:tcPr>
            <w:tcW w:w="889" w:type="dxa"/>
            <w:shd w:val="clear" w:color="auto" w:fill="FFFFFF"/>
          </w:tcPr>
          <w:p w14:paraId="22934424"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.605</w:t>
            </w:r>
          </w:p>
        </w:tc>
        <w:tc>
          <w:tcPr>
            <w:tcW w:w="890" w:type="dxa"/>
            <w:shd w:val="clear" w:color="auto" w:fill="FFFFFF"/>
          </w:tcPr>
          <w:p w14:paraId="06A9CC42"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.549</w:t>
            </w:r>
          </w:p>
        </w:tc>
      </w:tr>
      <w:tr w:rsidR="000940CC" w:rsidRPr="004840A2" w14:paraId="0A3EF485" w14:textId="77777777" w:rsidTr="00FC2A97">
        <w:trPr>
          <w:cantSplit/>
          <w:trHeight w:val="301"/>
          <w:jc w:val="center"/>
        </w:trPr>
        <w:tc>
          <w:tcPr>
            <w:tcW w:w="635" w:type="dxa"/>
            <w:vMerge/>
            <w:shd w:val="clear" w:color="auto" w:fill="E0E0E0"/>
          </w:tcPr>
          <w:p w14:paraId="180356CE" w14:textId="77777777" w:rsidR="000940CC" w:rsidRPr="004840A2" w:rsidRDefault="000940CC" w:rsidP="009870DE">
            <w:pPr>
              <w:autoSpaceDE w:val="0"/>
              <w:autoSpaceDN w:val="0"/>
              <w:adjustRightInd w:val="0"/>
              <w:rPr>
                <w:sz w:val="18"/>
                <w:szCs w:val="18"/>
              </w:rPr>
            </w:pPr>
          </w:p>
        </w:tc>
        <w:tc>
          <w:tcPr>
            <w:tcW w:w="1553" w:type="dxa"/>
            <w:shd w:val="clear" w:color="auto" w:fill="E0E0E0"/>
          </w:tcPr>
          <w:p w14:paraId="5325E990" w14:textId="38A30935" w:rsidR="000940CC" w:rsidRPr="004840A2" w:rsidRDefault="00D13141" w:rsidP="009870DE">
            <w:pPr>
              <w:autoSpaceDE w:val="0"/>
              <w:autoSpaceDN w:val="0"/>
              <w:adjustRightInd w:val="0"/>
              <w:spacing w:line="320" w:lineRule="atLeast"/>
              <w:ind w:left="60" w:right="60"/>
              <w:rPr>
                <w:sz w:val="18"/>
                <w:szCs w:val="18"/>
              </w:rPr>
            </w:pPr>
            <w:r>
              <w:rPr>
                <w:sz w:val="18"/>
                <w:szCs w:val="18"/>
              </w:rPr>
              <w:t>Debt Policy</w:t>
            </w:r>
          </w:p>
        </w:tc>
        <w:tc>
          <w:tcPr>
            <w:tcW w:w="1154" w:type="dxa"/>
            <w:shd w:val="clear" w:color="auto" w:fill="FFFFFF"/>
          </w:tcPr>
          <w:p w14:paraId="707E1326"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.006</w:t>
            </w:r>
          </w:p>
        </w:tc>
        <w:tc>
          <w:tcPr>
            <w:tcW w:w="1155" w:type="dxa"/>
            <w:shd w:val="clear" w:color="auto" w:fill="FFFFFF"/>
          </w:tcPr>
          <w:p w14:paraId="2FB190D7"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.007</w:t>
            </w:r>
          </w:p>
        </w:tc>
        <w:tc>
          <w:tcPr>
            <w:tcW w:w="1274" w:type="dxa"/>
            <w:shd w:val="clear" w:color="auto" w:fill="FFFFFF"/>
          </w:tcPr>
          <w:p w14:paraId="4A0E61A5"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.133</w:t>
            </w:r>
          </w:p>
        </w:tc>
        <w:tc>
          <w:tcPr>
            <w:tcW w:w="889" w:type="dxa"/>
            <w:shd w:val="clear" w:color="auto" w:fill="FFFFFF"/>
          </w:tcPr>
          <w:p w14:paraId="24C4D31B"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.774</w:t>
            </w:r>
          </w:p>
        </w:tc>
        <w:tc>
          <w:tcPr>
            <w:tcW w:w="890" w:type="dxa"/>
            <w:shd w:val="clear" w:color="auto" w:fill="FFFFFF"/>
          </w:tcPr>
          <w:p w14:paraId="2DE37652"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.445</w:t>
            </w:r>
          </w:p>
        </w:tc>
      </w:tr>
      <w:tr w:rsidR="000940CC" w:rsidRPr="004840A2" w14:paraId="5F7D4E6B" w14:textId="77777777" w:rsidTr="009870DE">
        <w:trPr>
          <w:cantSplit/>
          <w:trHeight w:val="288"/>
          <w:jc w:val="center"/>
        </w:trPr>
        <w:tc>
          <w:tcPr>
            <w:tcW w:w="7550" w:type="dxa"/>
            <w:gridSpan w:val="7"/>
            <w:shd w:val="clear" w:color="auto" w:fill="FFFFFF"/>
          </w:tcPr>
          <w:p w14:paraId="2C3745CB" w14:textId="422E5593" w:rsidR="000940CC" w:rsidRPr="004840A2" w:rsidRDefault="000940CC" w:rsidP="00D13141">
            <w:pPr>
              <w:autoSpaceDE w:val="0"/>
              <w:autoSpaceDN w:val="0"/>
              <w:adjustRightInd w:val="0"/>
              <w:spacing w:line="320" w:lineRule="atLeast"/>
              <w:ind w:left="60" w:right="60"/>
              <w:rPr>
                <w:sz w:val="18"/>
                <w:szCs w:val="18"/>
              </w:rPr>
            </w:pPr>
            <w:r w:rsidRPr="004840A2">
              <w:rPr>
                <w:sz w:val="18"/>
                <w:szCs w:val="18"/>
              </w:rPr>
              <w:t xml:space="preserve">a. Dependent Variable: </w:t>
            </w:r>
            <w:r w:rsidR="00D13141">
              <w:rPr>
                <w:sz w:val="18"/>
                <w:szCs w:val="18"/>
              </w:rPr>
              <w:t>Company Value</w:t>
            </w:r>
          </w:p>
        </w:tc>
      </w:tr>
    </w:tbl>
    <w:p w14:paraId="655DF840" w14:textId="08AC0C7E" w:rsidR="00804A4F" w:rsidRPr="00804A4F" w:rsidRDefault="007B2688" w:rsidP="00804A4F">
      <w:pPr>
        <w:tabs>
          <w:tab w:val="left" w:pos="426"/>
        </w:tabs>
        <w:spacing w:line="480" w:lineRule="auto"/>
        <w:rPr>
          <w:szCs w:val="22"/>
        </w:rPr>
      </w:pPr>
      <w:bookmarkStart w:id="0" w:name="_Hlk81689552"/>
      <w:r>
        <w:rPr>
          <w:szCs w:val="22"/>
        </w:rPr>
        <w:tab/>
      </w:r>
      <w:r w:rsidR="00FC2A97" w:rsidRPr="00FC2A97">
        <w:rPr>
          <w:szCs w:val="22"/>
        </w:rPr>
        <w:t xml:space="preserve">Source: Processed Data </w:t>
      </w:r>
      <w:r w:rsidR="00804A4F" w:rsidRPr="00804A4F">
        <w:rPr>
          <w:szCs w:val="22"/>
        </w:rPr>
        <w:t>SPSS 24, 2020</w:t>
      </w:r>
    </w:p>
    <w:bookmarkEnd w:id="0"/>
    <w:p w14:paraId="69672C46" w14:textId="77777777" w:rsidR="000940CC" w:rsidRDefault="000940CC" w:rsidP="000940CC">
      <w:pPr>
        <w:widowControl w:val="0"/>
        <w:autoSpaceDE w:val="0"/>
        <w:autoSpaceDN w:val="0"/>
        <w:adjustRightInd w:val="0"/>
        <w:spacing w:line="234" w:lineRule="exact"/>
        <w:ind w:left="720" w:right="964"/>
        <w:rPr>
          <w:sz w:val="24"/>
          <w:szCs w:val="24"/>
        </w:rPr>
      </w:pPr>
    </w:p>
    <w:p w14:paraId="361A6F85" w14:textId="77777777" w:rsidR="000940CC" w:rsidRPr="000940CC" w:rsidRDefault="000940CC" w:rsidP="000940CC">
      <w:pPr>
        <w:widowControl w:val="0"/>
        <w:autoSpaceDE w:val="0"/>
        <w:autoSpaceDN w:val="0"/>
        <w:adjustRightInd w:val="0"/>
        <w:ind w:left="720" w:right="964"/>
        <w:rPr>
          <w:position w:val="-2"/>
          <w:szCs w:val="22"/>
        </w:rPr>
      </w:pPr>
      <w:r w:rsidRPr="000940CC">
        <w:rPr>
          <w:szCs w:val="22"/>
        </w:rPr>
        <w:t xml:space="preserve">Y = </w:t>
      </w:r>
      <w:r w:rsidRPr="000940CC">
        <w:rPr>
          <w:spacing w:val="1"/>
          <w:szCs w:val="22"/>
        </w:rPr>
        <w:t xml:space="preserve">0.798 </w:t>
      </w:r>
      <w:r w:rsidRPr="000940CC">
        <w:rPr>
          <w:szCs w:val="22"/>
        </w:rPr>
        <w:t xml:space="preserve">+ </w:t>
      </w:r>
      <w:r w:rsidRPr="000940CC">
        <w:rPr>
          <w:spacing w:val="1"/>
          <w:szCs w:val="22"/>
        </w:rPr>
        <w:t>0,006</w:t>
      </w:r>
      <w:r w:rsidRPr="000940CC">
        <w:rPr>
          <w:szCs w:val="22"/>
        </w:rPr>
        <w:t xml:space="preserve">X </w:t>
      </w:r>
      <w:r w:rsidRPr="000940CC">
        <w:rPr>
          <w:position w:val="-2"/>
          <w:szCs w:val="22"/>
        </w:rPr>
        <w:t xml:space="preserve">+ </w:t>
      </w:r>
      <w:r w:rsidRPr="000940CC">
        <w:rPr>
          <w:szCs w:val="22"/>
        </w:rPr>
        <w:t>0,867 e</w:t>
      </w:r>
    </w:p>
    <w:p w14:paraId="2F34FEFC" w14:textId="77777777" w:rsidR="000940CC" w:rsidRPr="000940CC" w:rsidRDefault="000940CC" w:rsidP="000940CC">
      <w:pPr>
        <w:widowControl w:val="0"/>
        <w:autoSpaceDE w:val="0"/>
        <w:autoSpaceDN w:val="0"/>
        <w:adjustRightInd w:val="0"/>
        <w:ind w:left="720" w:right="964"/>
        <w:rPr>
          <w:position w:val="-2"/>
          <w:szCs w:val="22"/>
        </w:rPr>
      </w:pPr>
    </w:p>
    <w:p w14:paraId="46168978" w14:textId="70C6B194" w:rsidR="00D13141" w:rsidRPr="00D13141" w:rsidRDefault="00D13141" w:rsidP="00D13141">
      <w:pPr>
        <w:ind w:firstLine="720"/>
      </w:pPr>
      <w:r w:rsidRPr="00D13141">
        <w:t>From the regression function above, we can see that if the debt policy variable is increased by a unit score, the regression coefficient marked as positive indicates an immediate change, the</w:t>
      </w:r>
      <w:r w:rsidR="007B2688">
        <w:t>n the firm value will increase.</w:t>
      </w:r>
    </w:p>
    <w:p w14:paraId="3134C524" w14:textId="77777777" w:rsidR="00D13141" w:rsidRDefault="00D13141" w:rsidP="00D13141">
      <w:pPr>
        <w:pStyle w:val="ListParagraph"/>
        <w:numPr>
          <w:ilvl w:val="0"/>
          <w:numId w:val="25"/>
        </w:numPr>
        <w:rPr>
          <w:rFonts w:ascii="Times New Roman" w:hAnsi="Times New Roman"/>
        </w:rPr>
      </w:pPr>
      <w:r w:rsidRPr="00D13141">
        <w:rPr>
          <w:rFonts w:ascii="Times New Roman" w:hAnsi="Times New Roman"/>
        </w:rPr>
        <w:t>Constant (α = 0.978)</w:t>
      </w:r>
    </w:p>
    <w:p w14:paraId="6DA544E3" w14:textId="507BBC2C" w:rsidR="00D13141" w:rsidRPr="00D13141" w:rsidRDefault="00D13141" w:rsidP="00D13141">
      <w:pPr>
        <w:pStyle w:val="ListParagraph"/>
        <w:rPr>
          <w:rFonts w:ascii="Times New Roman" w:hAnsi="Times New Roman"/>
        </w:rPr>
      </w:pPr>
      <w:r w:rsidRPr="00D13141">
        <w:rPr>
          <w:rFonts w:ascii="Times New Roman" w:hAnsi="Times New Roman"/>
        </w:rPr>
        <w:t>If the debt policy (X) is worth (0), then the firm value (Y) is still worth 0.978.</w:t>
      </w:r>
    </w:p>
    <w:p w14:paraId="7850A508" w14:textId="35EECE1F" w:rsidR="00D13141" w:rsidRPr="00D13141" w:rsidRDefault="00D13141" w:rsidP="00D13141">
      <w:pPr>
        <w:pStyle w:val="ListParagraph"/>
        <w:numPr>
          <w:ilvl w:val="0"/>
          <w:numId w:val="25"/>
        </w:numPr>
        <w:rPr>
          <w:rFonts w:ascii="Times New Roman" w:hAnsi="Times New Roman"/>
        </w:rPr>
      </w:pPr>
      <w:r w:rsidRPr="00D13141">
        <w:rPr>
          <w:rFonts w:ascii="Times New Roman" w:hAnsi="Times New Roman"/>
        </w:rPr>
        <w:t>Debt policy regression coefficient (β = 0.006) indicates that for every 1% increase in debt policy, firm value will increase by 0.006%.</w:t>
      </w:r>
    </w:p>
    <w:p w14:paraId="02D88E66" w14:textId="0923F915" w:rsidR="001543F4" w:rsidRPr="00D13141" w:rsidRDefault="00D13141" w:rsidP="00D13141">
      <w:pPr>
        <w:pStyle w:val="ListParagraph"/>
        <w:numPr>
          <w:ilvl w:val="0"/>
          <w:numId w:val="25"/>
        </w:numPr>
        <w:spacing w:after="0" w:line="240" w:lineRule="auto"/>
        <w:rPr>
          <w:rFonts w:ascii="Times New Roman" w:hAnsi="Times New Roman"/>
        </w:rPr>
      </w:pPr>
      <w:r w:rsidRPr="00D13141">
        <w:rPr>
          <w:rFonts w:ascii="Times New Roman" w:hAnsi="Times New Roman"/>
        </w:rPr>
        <w:lastRenderedPageBreak/>
        <w:t xml:space="preserve">Efsilon (ɛ) 0.867. Variables that are not tested but have an impact on </w:t>
      </w:r>
      <w:r>
        <w:rPr>
          <w:rFonts w:ascii="Times New Roman" w:hAnsi="Times New Roman"/>
        </w:rPr>
        <w:t>(Y) are 86.7%.</w:t>
      </w:r>
    </w:p>
    <w:p w14:paraId="59DFEA21" w14:textId="37330C25" w:rsidR="001543F4" w:rsidRPr="001543F4" w:rsidRDefault="001543F4" w:rsidP="001543F4">
      <w:pPr>
        <w:jc w:val="center"/>
        <w:rPr>
          <w:rFonts w:eastAsia="Calibri"/>
          <w:b/>
          <w:bCs/>
        </w:rPr>
      </w:pPr>
      <w:r w:rsidRPr="001543F4">
        <w:rPr>
          <w:b/>
          <w:bCs/>
        </w:rPr>
        <w:t xml:space="preserve">Tabel </w:t>
      </w:r>
      <w:r>
        <w:rPr>
          <w:b/>
          <w:bCs/>
        </w:rPr>
        <w:t>3</w:t>
      </w:r>
      <w:r w:rsidRPr="001543F4">
        <w:rPr>
          <w:b/>
          <w:bCs/>
        </w:rPr>
        <w:t xml:space="preserve">. </w:t>
      </w:r>
      <w:r w:rsidR="00D13141" w:rsidRPr="00D13141">
        <w:rPr>
          <w:b/>
          <w:bCs/>
        </w:rPr>
        <w:t>Partial Test</w:t>
      </w:r>
    </w:p>
    <w:tbl>
      <w:tblPr>
        <w:tblW w:w="7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8"/>
        <w:gridCol w:w="1584"/>
        <w:gridCol w:w="1177"/>
        <w:gridCol w:w="1178"/>
        <w:gridCol w:w="1299"/>
        <w:gridCol w:w="906"/>
        <w:gridCol w:w="908"/>
      </w:tblGrid>
      <w:tr w:rsidR="000940CC" w:rsidRPr="004840A2" w14:paraId="7761168F" w14:textId="77777777" w:rsidTr="009870DE">
        <w:trPr>
          <w:cantSplit/>
          <w:trHeight w:val="290"/>
          <w:jc w:val="center"/>
        </w:trPr>
        <w:tc>
          <w:tcPr>
            <w:tcW w:w="7700" w:type="dxa"/>
            <w:gridSpan w:val="7"/>
            <w:shd w:val="clear" w:color="auto" w:fill="FFFFFF"/>
            <w:vAlign w:val="center"/>
          </w:tcPr>
          <w:p w14:paraId="394DC3E6" w14:textId="77777777" w:rsidR="000940CC" w:rsidRPr="004840A2" w:rsidRDefault="000940CC" w:rsidP="009870DE">
            <w:pPr>
              <w:autoSpaceDE w:val="0"/>
              <w:autoSpaceDN w:val="0"/>
              <w:adjustRightInd w:val="0"/>
              <w:spacing w:line="320" w:lineRule="atLeast"/>
              <w:ind w:left="60" w:right="60"/>
              <w:jc w:val="center"/>
            </w:pPr>
            <w:r w:rsidRPr="004840A2">
              <w:rPr>
                <w:b/>
                <w:bCs/>
              </w:rPr>
              <w:t>Coefficients</w:t>
            </w:r>
            <w:r w:rsidRPr="004840A2">
              <w:rPr>
                <w:b/>
                <w:bCs/>
                <w:vertAlign w:val="superscript"/>
              </w:rPr>
              <w:t>a</w:t>
            </w:r>
          </w:p>
        </w:tc>
      </w:tr>
      <w:tr w:rsidR="000940CC" w:rsidRPr="004840A2" w14:paraId="50506559" w14:textId="77777777" w:rsidTr="000940CC">
        <w:trPr>
          <w:cantSplit/>
          <w:trHeight w:val="580"/>
          <w:jc w:val="center"/>
        </w:trPr>
        <w:tc>
          <w:tcPr>
            <w:tcW w:w="2232" w:type="dxa"/>
            <w:gridSpan w:val="2"/>
            <w:vMerge w:val="restart"/>
            <w:shd w:val="clear" w:color="auto" w:fill="FFFFFF"/>
            <w:vAlign w:val="bottom"/>
          </w:tcPr>
          <w:p w14:paraId="62AB5B24" w14:textId="77777777" w:rsidR="000940CC" w:rsidRPr="004840A2" w:rsidRDefault="000940CC" w:rsidP="009870DE">
            <w:pPr>
              <w:autoSpaceDE w:val="0"/>
              <w:autoSpaceDN w:val="0"/>
              <w:adjustRightInd w:val="0"/>
              <w:spacing w:line="320" w:lineRule="atLeast"/>
              <w:ind w:left="60" w:right="60"/>
              <w:rPr>
                <w:sz w:val="18"/>
                <w:szCs w:val="18"/>
              </w:rPr>
            </w:pPr>
            <w:r w:rsidRPr="004840A2">
              <w:rPr>
                <w:sz w:val="18"/>
                <w:szCs w:val="18"/>
              </w:rPr>
              <w:t>Model</w:t>
            </w:r>
          </w:p>
        </w:tc>
        <w:tc>
          <w:tcPr>
            <w:tcW w:w="2355" w:type="dxa"/>
            <w:gridSpan w:val="2"/>
            <w:shd w:val="clear" w:color="auto" w:fill="FFFFFF"/>
            <w:vAlign w:val="bottom"/>
          </w:tcPr>
          <w:p w14:paraId="62D46332"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Unstandardized Coefficients</w:t>
            </w:r>
          </w:p>
        </w:tc>
        <w:tc>
          <w:tcPr>
            <w:tcW w:w="1299" w:type="dxa"/>
            <w:shd w:val="clear" w:color="auto" w:fill="FFFFFF"/>
            <w:vAlign w:val="bottom"/>
          </w:tcPr>
          <w:p w14:paraId="08EE5D51"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Standardized Coefficients</w:t>
            </w:r>
          </w:p>
        </w:tc>
        <w:tc>
          <w:tcPr>
            <w:tcW w:w="906" w:type="dxa"/>
            <w:vMerge w:val="restart"/>
            <w:shd w:val="clear" w:color="auto" w:fill="FFFFFF"/>
            <w:vAlign w:val="bottom"/>
          </w:tcPr>
          <w:p w14:paraId="3B7EB256"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t</w:t>
            </w:r>
          </w:p>
        </w:tc>
        <w:tc>
          <w:tcPr>
            <w:tcW w:w="908" w:type="dxa"/>
            <w:vMerge w:val="restart"/>
            <w:shd w:val="clear" w:color="auto" w:fill="FFFFFF"/>
            <w:vAlign w:val="bottom"/>
          </w:tcPr>
          <w:p w14:paraId="068C52C8"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Sig.</w:t>
            </w:r>
          </w:p>
        </w:tc>
      </w:tr>
      <w:tr w:rsidR="000940CC" w:rsidRPr="004840A2" w14:paraId="1A470D6C" w14:textId="77777777" w:rsidTr="000940CC">
        <w:trPr>
          <w:cantSplit/>
          <w:trHeight w:val="304"/>
          <w:jc w:val="center"/>
        </w:trPr>
        <w:tc>
          <w:tcPr>
            <w:tcW w:w="2232" w:type="dxa"/>
            <w:gridSpan w:val="2"/>
            <w:vMerge/>
            <w:shd w:val="clear" w:color="auto" w:fill="FFFFFF"/>
            <w:vAlign w:val="bottom"/>
          </w:tcPr>
          <w:p w14:paraId="374CE4FE" w14:textId="77777777" w:rsidR="000940CC" w:rsidRPr="004840A2" w:rsidRDefault="000940CC" w:rsidP="009870DE">
            <w:pPr>
              <w:autoSpaceDE w:val="0"/>
              <w:autoSpaceDN w:val="0"/>
              <w:adjustRightInd w:val="0"/>
              <w:rPr>
                <w:sz w:val="18"/>
                <w:szCs w:val="18"/>
              </w:rPr>
            </w:pPr>
          </w:p>
        </w:tc>
        <w:tc>
          <w:tcPr>
            <w:tcW w:w="1177" w:type="dxa"/>
            <w:shd w:val="clear" w:color="auto" w:fill="FFFFFF"/>
            <w:vAlign w:val="bottom"/>
          </w:tcPr>
          <w:p w14:paraId="1BF9C010"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B</w:t>
            </w:r>
          </w:p>
        </w:tc>
        <w:tc>
          <w:tcPr>
            <w:tcW w:w="1178" w:type="dxa"/>
            <w:shd w:val="clear" w:color="auto" w:fill="FFFFFF"/>
            <w:vAlign w:val="bottom"/>
          </w:tcPr>
          <w:p w14:paraId="5749ECD8"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Std. Error</w:t>
            </w:r>
          </w:p>
        </w:tc>
        <w:tc>
          <w:tcPr>
            <w:tcW w:w="1299" w:type="dxa"/>
            <w:shd w:val="clear" w:color="auto" w:fill="FFFFFF"/>
            <w:vAlign w:val="bottom"/>
          </w:tcPr>
          <w:p w14:paraId="4A0FFBCD" w14:textId="77777777" w:rsidR="000940CC" w:rsidRPr="004840A2" w:rsidRDefault="000940CC" w:rsidP="009870DE">
            <w:pPr>
              <w:autoSpaceDE w:val="0"/>
              <w:autoSpaceDN w:val="0"/>
              <w:adjustRightInd w:val="0"/>
              <w:spacing w:line="320" w:lineRule="atLeast"/>
              <w:ind w:left="60" w:right="60"/>
              <w:jc w:val="center"/>
              <w:rPr>
                <w:sz w:val="18"/>
                <w:szCs w:val="18"/>
              </w:rPr>
            </w:pPr>
            <w:r w:rsidRPr="004840A2">
              <w:rPr>
                <w:sz w:val="18"/>
                <w:szCs w:val="18"/>
              </w:rPr>
              <w:t>Beta</w:t>
            </w:r>
          </w:p>
        </w:tc>
        <w:tc>
          <w:tcPr>
            <w:tcW w:w="906" w:type="dxa"/>
            <w:vMerge/>
            <w:shd w:val="clear" w:color="auto" w:fill="FFFFFF"/>
            <w:vAlign w:val="bottom"/>
          </w:tcPr>
          <w:p w14:paraId="623BBF70" w14:textId="77777777" w:rsidR="000940CC" w:rsidRPr="004840A2" w:rsidRDefault="000940CC" w:rsidP="009870DE">
            <w:pPr>
              <w:autoSpaceDE w:val="0"/>
              <w:autoSpaceDN w:val="0"/>
              <w:adjustRightInd w:val="0"/>
              <w:rPr>
                <w:sz w:val="18"/>
                <w:szCs w:val="18"/>
              </w:rPr>
            </w:pPr>
          </w:p>
        </w:tc>
        <w:tc>
          <w:tcPr>
            <w:tcW w:w="908" w:type="dxa"/>
            <w:vMerge/>
            <w:shd w:val="clear" w:color="auto" w:fill="FFFFFF"/>
            <w:vAlign w:val="bottom"/>
          </w:tcPr>
          <w:p w14:paraId="292C0EF8" w14:textId="77777777" w:rsidR="000940CC" w:rsidRPr="004840A2" w:rsidRDefault="000940CC" w:rsidP="009870DE">
            <w:pPr>
              <w:autoSpaceDE w:val="0"/>
              <w:autoSpaceDN w:val="0"/>
              <w:adjustRightInd w:val="0"/>
              <w:rPr>
                <w:sz w:val="18"/>
                <w:szCs w:val="18"/>
              </w:rPr>
            </w:pPr>
          </w:p>
        </w:tc>
      </w:tr>
      <w:tr w:rsidR="000940CC" w:rsidRPr="004840A2" w14:paraId="716A1D41" w14:textId="77777777" w:rsidTr="000940CC">
        <w:trPr>
          <w:cantSplit/>
          <w:trHeight w:val="290"/>
          <w:jc w:val="center"/>
        </w:trPr>
        <w:tc>
          <w:tcPr>
            <w:tcW w:w="648" w:type="dxa"/>
            <w:vMerge w:val="restart"/>
            <w:shd w:val="clear" w:color="auto" w:fill="E0E0E0"/>
          </w:tcPr>
          <w:p w14:paraId="32DAAD18" w14:textId="77777777" w:rsidR="000940CC" w:rsidRPr="004840A2" w:rsidRDefault="000940CC" w:rsidP="009870DE">
            <w:pPr>
              <w:autoSpaceDE w:val="0"/>
              <w:autoSpaceDN w:val="0"/>
              <w:adjustRightInd w:val="0"/>
              <w:spacing w:line="320" w:lineRule="atLeast"/>
              <w:ind w:left="60" w:right="60"/>
              <w:rPr>
                <w:sz w:val="18"/>
                <w:szCs w:val="18"/>
              </w:rPr>
            </w:pPr>
            <w:r w:rsidRPr="004840A2">
              <w:rPr>
                <w:sz w:val="18"/>
                <w:szCs w:val="18"/>
              </w:rPr>
              <w:t>1</w:t>
            </w:r>
          </w:p>
        </w:tc>
        <w:tc>
          <w:tcPr>
            <w:tcW w:w="1584" w:type="dxa"/>
            <w:shd w:val="clear" w:color="auto" w:fill="E0E0E0"/>
          </w:tcPr>
          <w:p w14:paraId="0A2F48CA" w14:textId="77777777" w:rsidR="000940CC" w:rsidRPr="004840A2" w:rsidRDefault="000940CC" w:rsidP="009870DE">
            <w:pPr>
              <w:autoSpaceDE w:val="0"/>
              <w:autoSpaceDN w:val="0"/>
              <w:adjustRightInd w:val="0"/>
              <w:spacing w:line="320" w:lineRule="atLeast"/>
              <w:ind w:left="60" w:right="60"/>
              <w:rPr>
                <w:sz w:val="18"/>
                <w:szCs w:val="18"/>
              </w:rPr>
            </w:pPr>
            <w:r w:rsidRPr="004840A2">
              <w:rPr>
                <w:sz w:val="18"/>
                <w:szCs w:val="18"/>
              </w:rPr>
              <w:t>(Constant)</w:t>
            </w:r>
          </w:p>
        </w:tc>
        <w:tc>
          <w:tcPr>
            <w:tcW w:w="1177" w:type="dxa"/>
            <w:shd w:val="clear" w:color="auto" w:fill="FFFFFF"/>
          </w:tcPr>
          <w:p w14:paraId="53082368"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.798</w:t>
            </w:r>
          </w:p>
        </w:tc>
        <w:tc>
          <w:tcPr>
            <w:tcW w:w="1178" w:type="dxa"/>
            <w:shd w:val="clear" w:color="auto" w:fill="FFFFFF"/>
          </w:tcPr>
          <w:p w14:paraId="7A432532"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1.319</w:t>
            </w:r>
          </w:p>
        </w:tc>
        <w:tc>
          <w:tcPr>
            <w:tcW w:w="1299" w:type="dxa"/>
            <w:shd w:val="clear" w:color="auto" w:fill="FFFFFF"/>
            <w:vAlign w:val="center"/>
          </w:tcPr>
          <w:p w14:paraId="7CF6D5E3" w14:textId="77777777" w:rsidR="000940CC" w:rsidRPr="004840A2" w:rsidRDefault="000940CC" w:rsidP="009870DE">
            <w:pPr>
              <w:autoSpaceDE w:val="0"/>
              <w:autoSpaceDN w:val="0"/>
              <w:adjustRightInd w:val="0"/>
              <w:rPr>
                <w:sz w:val="24"/>
                <w:szCs w:val="24"/>
              </w:rPr>
            </w:pPr>
          </w:p>
        </w:tc>
        <w:tc>
          <w:tcPr>
            <w:tcW w:w="906" w:type="dxa"/>
            <w:shd w:val="clear" w:color="auto" w:fill="FFFFFF"/>
          </w:tcPr>
          <w:p w14:paraId="247866DE"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.605</w:t>
            </w:r>
          </w:p>
        </w:tc>
        <w:tc>
          <w:tcPr>
            <w:tcW w:w="908" w:type="dxa"/>
            <w:shd w:val="clear" w:color="auto" w:fill="FFFFFF"/>
          </w:tcPr>
          <w:p w14:paraId="3A0F20CD"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.549</w:t>
            </w:r>
          </w:p>
        </w:tc>
      </w:tr>
      <w:tr w:rsidR="000940CC" w:rsidRPr="004840A2" w14:paraId="47346BB4" w14:textId="77777777" w:rsidTr="000940CC">
        <w:trPr>
          <w:cantSplit/>
          <w:trHeight w:val="304"/>
          <w:jc w:val="center"/>
        </w:trPr>
        <w:tc>
          <w:tcPr>
            <w:tcW w:w="648" w:type="dxa"/>
            <w:vMerge/>
            <w:shd w:val="clear" w:color="auto" w:fill="E0E0E0"/>
          </w:tcPr>
          <w:p w14:paraId="0EF13D14" w14:textId="77777777" w:rsidR="000940CC" w:rsidRPr="004840A2" w:rsidRDefault="000940CC" w:rsidP="009870DE">
            <w:pPr>
              <w:autoSpaceDE w:val="0"/>
              <w:autoSpaceDN w:val="0"/>
              <w:adjustRightInd w:val="0"/>
              <w:rPr>
                <w:sz w:val="18"/>
                <w:szCs w:val="18"/>
              </w:rPr>
            </w:pPr>
          </w:p>
        </w:tc>
        <w:tc>
          <w:tcPr>
            <w:tcW w:w="1584" w:type="dxa"/>
            <w:shd w:val="clear" w:color="auto" w:fill="E0E0E0"/>
          </w:tcPr>
          <w:p w14:paraId="57C0E27C" w14:textId="1C7B0ECE" w:rsidR="000940CC" w:rsidRPr="004840A2" w:rsidRDefault="00D13141" w:rsidP="009870DE">
            <w:pPr>
              <w:autoSpaceDE w:val="0"/>
              <w:autoSpaceDN w:val="0"/>
              <w:adjustRightInd w:val="0"/>
              <w:spacing w:line="320" w:lineRule="atLeast"/>
              <w:ind w:left="60" w:right="60"/>
              <w:rPr>
                <w:sz w:val="18"/>
                <w:szCs w:val="18"/>
              </w:rPr>
            </w:pPr>
            <w:r>
              <w:rPr>
                <w:sz w:val="18"/>
                <w:szCs w:val="18"/>
              </w:rPr>
              <w:t>Debt Policy</w:t>
            </w:r>
          </w:p>
        </w:tc>
        <w:tc>
          <w:tcPr>
            <w:tcW w:w="1177" w:type="dxa"/>
            <w:shd w:val="clear" w:color="auto" w:fill="FFFFFF"/>
          </w:tcPr>
          <w:p w14:paraId="1DBD8E0F"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.006</w:t>
            </w:r>
          </w:p>
        </w:tc>
        <w:tc>
          <w:tcPr>
            <w:tcW w:w="1178" w:type="dxa"/>
            <w:shd w:val="clear" w:color="auto" w:fill="FFFFFF"/>
          </w:tcPr>
          <w:p w14:paraId="0BFF9537"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.007</w:t>
            </w:r>
          </w:p>
        </w:tc>
        <w:tc>
          <w:tcPr>
            <w:tcW w:w="1299" w:type="dxa"/>
            <w:shd w:val="clear" w:color="auto" w:fill="FFFFFF"/>
          </w:tcPr>
          <w:p w14:paraId="670C288F"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.133</w:t>
            </w:r>
          </w:p>
        </w:tc>
        <w:tc>
          <w:tcPr>
            <w:tcW w:w="906" w:type="dxa"/>
            <w:shd w:val="clear" w:color="auto" w:fill="FFFFFF"/>
          </w:tcPr>
          <w:p w14:paraId="587CDE06"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.774</w:t>
            </w:r>
          </w:p>
        </w:tc>
        <w:tc>
          <w:tcPr>
            <w:tcW w:w="908" w:type="dxa"/>
            <w:shd w:val="clear" w:color="auto" w:fill="FFFFFF"/>
          </w:tcPr>
          <w:p w14:paraId="495E717C" w14:textId="77777777" w:rsidR="000940CC" w:rsidRPr="004840A2" w:rsidRDefault="000940CC" w:rsidP="009870DE">
            <w:pPr>
              <w:autoSpaceDE w:val="0"/>
              <w:autoSpaceDN w:val="0"/>
              <w:adjustRightInd w:val="0"/>
              <w:spacing w:line="320" w:lineRule="atLeast"/>
              <w:ind w:left="60" w:right="60"/>
              <w:jc w:val="right"/>
              <w:rPr>
                <w:sz w:val="18"/>
                <w:szCs w:val="18"/>
              </w:rPr>
            </w:pPr>
            <w:r w:rsidRPr="004840A2">
              <w:rPr>
                <w:sz w:val="18"/>
                <w:szCs w:val="18"/>
              </w:rPr>
              <w:t>.445</w:t>
            </w:r>
          </w:p>
        </w:tc>
      </w:tr>
      <w:tr w:rsidR="000940CC" w:rsidRPr="004840A2" w14:paraId="4F7410B8" w14:textId="77777777" w:rsidTr="009870DE">
        <w:trPr>
          <w:cantSplit/>
          <w:trHeight w:val="290"/>
          <w:jc w:val="center"/>
        </w:trPr>
        <w:tc>
          <w:tcPr>
            <w:tcW w:w="7700" w:type="dxa"/>
            <w:gridSpan w:val="7"/>
            <w:shd w:val="clear" w:color="auto" w:fill="FFFFFF"/>
          </w:tcPr>
          <w:p w14:paraId="4114A112" w14:textId="1B6A0145" w:rsidR="000940CC" w:rsidRPr="004840A2" w:rsidRDefault="000940CC" w:rsidP="00D13141">
            <w:pPr>
              <w:autoSpaceDE w:val="0"/>
              <w:autoSpaceDN w:val="0"/>
              <w:adjustRightInd w:val="0"/>
              <w:spacing w:line="320" w:lineRule="atLeast"/>
              <w:ind w:left="60" w:right="60"/>
              <w:rPr>
                <w:sz w:val="18"/>
                <w:szCs w:val="18"/>
              </w:rPr>
            </w:pPr>
            <w:r w:rsidRPr="004840A2">
              <w:rPr>
                <w:sz w:val="18"/>
                <w:szCs w:val="18"/>
              </w:rPr>
              <w:t xml:space="preserve">a. Dependent Variable: </w:t>
            </w:r>
            <w:r w:rsidR="00D13141">
              <w:rPr>
                <w:sz w:val="18"/>
                <w:szCs w:val="18"/>
              </w:rPr>
              <w:t>Company Value</w:t>
            </w:r>
          </w:p>
        </w:tc>
      </w:tr>
    </w:tbl>
    <w:p w14:paraId="7575E841" w14:textId="11977367" w:rsidR="001543F4" w:rsidRPr="000940CC" w:rsidRDefault="007B2688" w:rsidP="000940CC">
      <w:pPr>
        <w:tabs>
          <w:tab w:val="left" w:pos="426"/>
        </w:tabs>
        <w:spacing w:line="480" w:lineRule="auto"/>
        <w:rPr>
          <w:szCs w:val="22"/>
        </w:rPr>
      </w:pPr>
      <w:r>
        <w:rPr>
          <w:szCs w:val="22"/>
        </w:rPr>
        <w:tab/>
      </w:r>
      <w:r w:rsidR="00D13141" w:rsidRPr="00D13141">
        <w:rPr>
          <w:szCs w:val="22"/>
        </w:rPr>
        <w:t xml:space="preserve">Source: Processed Data </w:t>
      </w:r>
      <w:r w:rsidR="000940CC" w:rsidRPr="00804A4F">
        <w:rPr>
          <w:szCs w:val="22"/>
        </w:rPr>
        <w:t>SPSS 24, 2020</w:t>
      </w:r>
    </w:p>
    <w:p w14:paraId="4B4BBE13" w14:textId="77777777" w:rsidR="00D13141" w:rsidRPr="00D13141" w:rsidRDefault="00D13141" w:rsidP="00D13141">
      <w:pPr>
        <w:pStyle w:val="NoSpacing"/>
        <w:ind w:firstLine="567"/>
        <w:rPr>
          <w:rFonts w:ascii="Times New Roman" w:hAnsi="Times New Roman"/>
          <w:spacing w:val="1"/>
        </w:rPr>
      </w:pPr>
      <w:r w:rsidRPr="00D13141">
        <w:rPr>
          <w:rFonts w:ascii="Times New Roman" w:hAnsi="Times New Roman"/>
          <w:spacing w:val="1"/>
        </w:rPr>
        <w:t>According to the table above, for the debt policy variable, the significance value of 0.445 is greater than the alpha value of 0.05. Because this significance level is greater than 0.05, it can be concluded that debt policy has no significant effect on firm value.</w:t>
      </w:r>
    </w:p>
    <w:p w14:paraId="33C7BEF6" w14:textId="54254CD4" w:rsidR="00D13141" w:rsidRPr="00D13141" w:rsidRDefault="00D13141" w:rsidP="00D13141">
      <w:pPr>
        <w:pStyle w:val="NoSpacing"/>
        <w:ind w:firstLine="567"/>
        <w:rPr>
          <w:rFonts w:ascii="Times New Roman" w:hAnsi="Times New Roman"/>
          <w:spacing w:val="1"/>
        </w:rPr>
      </w:pPr>
      <w:r w:rsidRPr="00D13141">
        <w:rPr>
          <w:rFonts w:ascii="Times New Roman" w:hAnsi="Times New Roman"/>
          <w:spacing w:val="1"/>
        </w:rPr>
        <w:t xml:space="preserve">Based on the results of the study, it was proven that the Debt Policy had no significant effect on the value of the company in the pulp and paper sub-sector that went public on the Indonesia Stock Exchange. The results of the study are in line with the theory presented by Imam </w:t>
      </w:r>
      <w:r w:rsidR="009923F9">
        <w:rPr>
          <w:rFonts w:ascii="Times New Roman" w:hAnsi="Times New Roman"/>
          <w:spacing w:val="1"/>
        </w:rPr>
        <w:fldChar w:fldCharType="begin" w:fldLock="1"/>
      </w:r>
      <w:r w:rsidR="009923F9">
        <w:rPr>
          <w:rFonts w:ascii="Times New Roman" w:hAnsi="Times New Roman"/>
          <w:spacing w:val="1"/>
        </w:rPr>
        <w:instrText>ADDIN CSL_CITATION { "citationItems" : [ { "id" : "ITEM-1", "itemData" : { "abstract" : "This research aims to find out the influence of Debt to Equity Ratio, Return on Equity, Return on Asset and firm size to firm value (Tobin\u2019s Q) simultaneously and partially. Type of research is explanatory research used quantitative approach. The population in this research were all mining\u2019s firm were listed in Bursa Efek Indonesia in 2012-2016. The sampling technique used purposive sampling and the samples of this research were 8 firms. This research use statistic descriptive analyze and multiple linear regression analyze. The result of this research indicates that Debt to Equity Ratio, Return on Equity, Return on Asset and firm size simultaneously has a significant effect to the firm value (Tobin\u2019s Q). Partially, by t-test shows that Return on Equity has a significant effect to the firm value (Tobin\u2019s Q). While the others independent variable, Debt to Equity Ratio, Return on Asset and firm size has no significant effect to the firm value (Tobin\u2019s Q). Keywords: Debt to Equity Ratio, Return on Equity, Return on Asset , Firm Size, Firm Value \u0410BSTR\u0410K Penelitian ini bertujuan untuk mengetahui pengaruh Debt to Equity Ratio Return on Equity , Return on Asset dan ukuran perusahaan terhadap nilai perusahaan (Tobin\u2019s Q) secara simultan maupun secara parsial. Jenis penelitian yang digunakan adalah explanatory research dengan pendekatan kuantitatif. Populasi yang digunakan dalam penelitian ini adalah perusahaan pertambangan yang terdaftar di Bursa Efek Indonesia tahun 2012 hingga 2016. Teknik pengambilan sampel menggunakan purposive sampling sehingga sampel terpilih berjumlah 8 perusahaan. Penelitian ini menggunakan analisis data statistik deskriptif dan analisis regresi linear berganda. Hasil dari penelitian ini menunjukkan bahwa Debt to Equity Ratio, Return on Equity , Return on Asset dan ukuran perusahaan secara simultan berpengaruh signifikan terhadap nilai perusahaan (Tobin\u2019s Q). Uji parsial atau uji t menunjukkan bahwa variabel Return on Equity secara parsial berpengaruh signifikan terhadap nilai perusahaan (Tobin\u2019s Q). Sedangkan variabel Debt to Equity Ratio, Return on Asset dan ukuran perusahaan berpengaruh tidak signifikan secara parsial terhadap nilai perusahaan (Tobin\u2019s Q). Kata Kunci: Debt to Equity Ratio, Return on Equity , Return on Asset , Ukuran Perusahaan, Nilai Perusahaan", "author" : [ { "dropping-particle" : "", "family" : "Rahmantio", "given" : "Imam", "non-dropping-particle" : "", "parse-names" : false, "suffix" : "" }, { "dropping-particle" : "", "family" : "Saifi", "given" : "Muhammad", "non-dropping-particle" : "", "parse-names" : false, "suffix" : "" }, { "dropping-particle" : "", "family" : "Nurlaily", "given" : "Ferina", "non-dropping-particle" : "", "parse-names" : false, "suffix" : "" } ], "container-title" : "Jurnal Administrasi Bisnis", "id" : "ITEM-1", "issue" : "1", "issued" : { "date-parts" : [ [ "2018" ] ] }, "page" : "151-159", "title" : "Pengaruh Debt to Equity Ratio, Return on Equity, Return on Asset dan Ukuran Perusahaan Terhadap Nilai Perusahaan (Studi pada Perusahaan Pertambangan yang Terdaftar di Bursa Efek Indonesia Tahun 2012-2016)", "type" : "article-journal", "volume" : "57" }, "uris" : [ "http://www.mendeley.com/documents/?uuid=30998fb4-85c1-4c53-9f2c-abff11a69ebb" ] } ], "mendeley" : { "formattedCitation" : "[13]", "plainTextFormattedCitation" : "[13]", "previouslyFormattedCitation" : "[13]" }, "properties" : { "noteIndex" : 4 }, "schema" : "https://github.com/citation-style-language/schema/raw/master/csl-citation.json" }</w:instrText>
      </w:r>
      <w:r w:rsidR="009923F9">
        <w:rPr>
          <w:rFonts w:ascii="Times New Roman" w:hAnsi="Times New Roman"/>
          <w:spacing w:val="1"/>
        </w:rPr>
        <w:fldChar w:fldCharType="separate"/>
      </w:r>
      <w:r w:rsidR="009923F9" w:rsidRPr="009923F9">
        <w:rPr>
          <w:rFonts w:ascii="Times New Roman" w:hAnsi="Times New Roman"/>
          <w:noProof/>
          <w:spacing w:val="1"/>
        </w:rPr>
        <w:t>[13]</w:t>
      </w:r>
      <w:r w:rsidR="009923F9">
        <w:rPr>
          <w:rFonts w:ascii="Times New Roman" w:hAnsi="Times New Roman"/>
          <w:spacing w:val="1"/>
        </w:rPr>
        <w:fldChar w:fldCharType="end"/>
      </w:r>
      <w:r w:rsidRPr="00D13141">
        <w:rPr>
          <w:rFonts w:ascii="Times New Roman" w:hAnsi="Times New Roman"/>
          <w:spacing w:val="1"/>
        </w:rPr>
        <w:t>. It shows that a lower DER means that the company uses more of its own funds than debt. The higher the DER level, the more debt financing the company has compared to its own funds. It also shows that the company has a great dependence on creditors. DER does not have a significant impact on firm value, which means that the size of the firm's debt will not actually affect firm value. If debt is managed well, companies with higher liabilities can have a higher firm value, so the company has a larger market capitalization asset. Similarly, if the firm's debt level is low and the firm's market value is high, then the firm's value may also be high. Therefore, the scale of the company's debt will not significantly affect the value of the company. This is in line with the theory put forward by Sudana</w:t>
      </w:r>
      <w:r w:rsidR="007B2688">
        <w:rPr>
          <w:rFonts w:ascii="Times New Roman" w:hAnsi="Times New Roman"/>
          <w:spacing w:val="1"/>
        </w:rPr>
        <w:t xml:space="preserve"> </w:t>
      </w:r>
      <w:r w:rsidR="007B2688">
        <w:rPr>
          <w:rFonts w:ascii="Times New Roman" w:hAnsi="Times New Roman"/>
          <w:spacing w:val="1"/>
        </w:rPr>
        <w:fldChar w:fldCharType="begin" w:fldLock="1"/>
      </w:r>
      <w:r w:rsidR="007B2688">
        <w:rPr>
          <w:rFonts w:ascii="Times New Roman" w:hAnsi="Times New Roman"/>
          <w:spacing w:val="1"/>
        </w:rPr>
        <w:instrText>ADDIN CSL_CITATION { "citationItems" : [ { "id" : "ITEM-1", "itemData" : { "author" : [ { "dropping-particle" : "", "family" : "I Made Sudana", "given" : "", "non-dropping-particle" : "", "parse-names" : false, "suffix" : "" } ], "id" : "ITEM-1", "issued" : { "date-parts" : [ [ "2015" ] ] }, "publisher" : "Erlangga", "publisher-place" : "Jakarta", "title" : "Manajemen Keuangan Perusahaan", "type" : "book" }, "uris" : [ "http://www.mendeley.com/documents/?uuid=8773f4e7-a9dc-4d2b-beae-7b7632f6c728" ] } ], "mendeley" : { "formattedCitation" : "[6]", "plainTextFormattedCitation" : "[6]", "previouslyFormattedCitation" : "[6]" }, "properties" : { "noteIndex" : 4 }, "schema" : "https://github.com/citation-style-language/schema/raw/master/csl-citation.json" }</w:instrText>
      </w:r>
      <w:r w:rsidR="007B2688">
        <w:rPr>
          <w:rFonts w:ascii="Times New Roman" w:hAnsi="Times New Roman"/>
          <w:spacing w:val="1"/>
        </w:rPr>
        <w:fldChar w:fldCharType="separate"/>
      </w:r>
      <w:r w:rsidR="007B2688" w:rsidRPr="007B2688">
        <w:rPr>
          <w:rFonts w:ascii="Times New Roman" w:hAnsi="Times New Roman"/>
          <w:noProof/>
          <w:spacing w:val="1"/>
        </w:rPr>
        <w:t>[6]</w:t>
      </w:r>
      <w:r w:rsidR="007B2688">
        <w:rPr>
          <w:rFonts w:ascii="Times New Roman" w:hAnsi="Times New Roman"/>
          <w:spacing w:val="1"/>
        </w:rPr>
        <w:fldChar w:fldCharType="end"/>
      </w:r>
      <w:r w:rsidRPr="00D13141">
        <w:rPr>
          <w:rFonts w:ascii="Times New Roman" w:hAnsi="Times New Roman"/>
          <w:spacing w:val="1"/>
        </w:rPr>
        <w:t>, which states that the value of the company will not change regardless of the amount of debt used by the company in company expenses.</w:t>
      </w:r>
    </w:p>
    <w:p w14:paraId="10F5B7F7" w14:textId="1C10441C" w:rsidR="00D13141" w:rsidRPr="00D13141" w:rsidRDefault="00D13141" w:rsidP="00D13141">
      <w:pPr>
        <w:pStyle w:val="NoSpacing"/>
        <w:ind w:firstLine="567"/>
        <w:rPr>
          <w:rFonts w:ascii="Times New Roman" w:hAnsi="Times New Roman"/>
          <w:spacing w:val="1"/>
        </w:rPr>
      </w:pPr>
      <w:r w:rsidRPr="00D13141">
        <w:rPr>
          <w:rFonts w:ascii="Times New Roman" w:hAnsi="Times New Roman"/>
          <w:spacing w:val="1"/>
        </w:rPr>
        <w:t xml:space="preserve">The results of this study are consistent with previous research by Prasetia </w:t>
      </w:r>
      <w:r w:rsidR="009923F9">
        <w:rPr>
          <w:rFonts w:ascii="Times New Roman" w:hAnsi="Times New Roman"/>
          <w:spacing w:val="1"/>
        </w:rPr>
        <w:fldChar w:fldCharType="begin" w:fldLock="1"/>
      </w:r>
      <w:r w:rsidR="009923F9">
        <w:rPr>
          <w:rFonts w:ascii="Times New Roman" w:hAnsi="Times New Roman"/>
          <w:spacing w:val="1"/>
        </w:rPr>
        <w:instrText>ADDIN CSL_CITATION { "citationItems" : [ { "id" : "ITEM-1", "itemData" : { "ISSN" : "2303-1174", "abstract" : "ABSTRAK Nilai perusahaan merupakan salah satu tujuan perusahaan dengan cara memaksimumkan nilai saham. Ada beberapa faktor yang mempengaruhi nilai perusahaan, tapi penulis hanya meneliti tiga variabel, yaitu struktur modal, ukuran perusahaan dan risiko perusahaan. Penelitian ini bertujuan untuk menguji pengaruh struktur modal (DER), ukuran perusahaan (Total Asset), risiko perusahaan (Beta) terhadap nilai perusahaan (PBV), secara simultan maupun parsial. Sampel penelitian ini adalah perusahaan otomotif yang terdaftar di BEI periode 2009-2012 dengan jumlah 10 perusahaan dengan menggunakan metode purposive sampling. Metode analisis yang digunakan adalah uji asaumsi klasik dan uji hipotesis serta analisis linear berganda. Hasil penelitian menunjukkan bahwa secara simultan seluruh variabel independen dalam penelitian ini berpengaruh signifikan terhadap nilai perusahaan. Stuktur modal mempunyai pengaruh positif tidak signifikan terhadap nilai perusahaan, ukuran perusahaan mempunyai pengaruh positif signifikan terhadap nilai perusahaan, risiko perusahaan mempunyai pengaruh positif tidak signifikan terhadap nilai perusahaan. Perusahaan sebaiknya memperhatikan struktur modal, ukuran perusahaan dan risiko perusahaan sehingga dapat meningkatkan harga saham dan berdampak pada nilai perusahaan dimata investor. Kata kunci: struktur modal, ukuran perusahaan, risiko perusahaan, nilai perusahaan. ABSTRACT Value of the company is one of the objectives of the company by way of maximizing the value of the stock. There are several factors that affect the value of the company, but the authors only examined three variables, namely capital structure, firm size and firm risk. This study aimed to examine the effect of capital structure (DER), firm size (total assets), firm risk (Beta) on firm value (PBV), simultaneously or partially. The sample was automotive companies listed on the Stock Exchange 2009-2012 period the number of 10 companies using purposive sampling method. The analytical method used is the classic asaumsi and hypothesis testing and multiple linear analysis. The results showed that all independent variables simultaneously in this study have a significant effect on firm value. Capital structure has no significant positive effect on firm value, firm size has a significant positive effect on firm value, the risk of the company not having a significant positive effect on firm value. Companies should pay attention to capital structure, firm size and firm risk so as to\u2026", "author" : [ { "dropping-particle" : "", "family" : "Prasetia", "given" : "Ta\u2019dir Eko", "non-dropping-particle" : "", "parse-names" : false, "suffix" : "" }, { "dropping-particle" : "", "family" : "Tommy", "given" : "Parengkuan", "non-dropping-particle" : "", "parse-names" : false, "suffix" : "" }, { "dropping-particle" : "", "family" : "Saerang", "given" : "Ivone S.", "non-dropping-particle" : "", "parse-names" : false, "suffix" : "" } ], "container-title" : "Ukuran\u2026 Jurnal EMBA", "id" : "ITEM-1", "issue" : "2", "issued" : { "date-parts" : [ [ "2014" ] ] }, "page" : "879-889", "title" : "Struktur Modal, Ukuran Perusahaan Dan Risiko Perusahaan Terhadap Nilai Perusahaan Otomotif Yang Terdaftar Di Bei", "type" : "article-journal", "volume" : "8792" }, "uris" : [ "http://www.mendeley.com/documents/?uuid=add8f885-3e4f-4ee8-b1f9-ea851ca4bbaf" ] } ], "mendeley" : { "formattedCitation" : "[14]", "plainTextFormattedCitation" : "[14]", "previouslyFormattedCitation" : "[14]" }, "properties" : { "noteIndex" : 4 }, "schema" : "https://github.com/citation-style-language/schema/raw/master/csl-citation.json" }</w:instrText>
      </w:r>
      <w:r w:rsidR="009923F9">
        <w:rPr>
          <w:rFonts w:ascii="Times New Roman" w:hAnsi="Times New Roman"/>
          <w:spacing w:val="1"/>
        </w:rPr>
        <w:fldChar w:fldCharType="separate"/>
      </w:r>
      <w:r w:rsidR="009923F9" w:rsidRPr="009923F9">
        <w:rPr>
          <w:rFonts w:ascii="Times New Roman" w:hAnsi="Times New Roman"/>
          <w:noProof/>
          <w:spacing w:val="1"/>
        </w:rPr>
        <w:t>[14]</w:t>
      </w:r>
      <w:r w:rsidR="009923F9">
        <w:rPr>
          <w:rFonts w:ascii="Times New Roman" w:hAnsi="Times New Roman"/>
          <w:spacing w:val="1"/>
        </w:rPr>
        <w:fldChar w:fldCharType="end"/>
      </w:r>
      <w:r w:rsidRPr="00D13141">
        <w:rPr>
          <w:rFonts w:ascii="Times New Roman" w:hAnsi="Times New Roman"/>
          <w:spacing w:val="1"/>
        </w:rPr>
        <w:t xml:space="preserve"> on capital structure, firm size, and firm value risk. The results showed that the capital structure as measured by DER had no significant effect on </w:t>
      </w:r>
      <w:r w:rsidR="00E13233">
        <w:rPr>
          <w:rFonts w:ascii="Times New Roman" w:hAnsi="Times New Roman"/>
          <w:spacing w:val="1"/>
        </w:rPr>
        <w:t xml:space="preserve">firm value. According to Lubis </w:t>
      </w:r>
      <w:r w:rsidR="00E13233">
        <w:rPr>
          <w:rFonts w:ascii="Times New Roman" w:hAnsi="Times New Roman"/>
          <w:spacing w:val="1"/>
        </w:rPr>
        <w:fldChar w:fldCharType="begin" w:fldLock="1"/>
      </w:r>
      <w:r w:rsidR="00E13233">
        <w:rPr>
          <w:rFonts w:ascii="Times New Roman" w:hAnsi="Times New Roman"/>
          <w:spacing w:val="1"/>
        </w:rPr>
        <w:instrText>ADDIN CSL_CITATION { "citationItems" : [ { "id" : "ITEM-1", "itemData" : { "ISSN" : "25285149", "abstract" : "The purpose of this study was to determine the influence and formulate recommendations from the ROE, DER san LDR. This research is a causal with quantitative approach. Independent variable is the profitability, capital structure and liquidity, while the dependent variable is the value of the company. Analysis of the data used is inferential statistical analysis. This study uses panel data regression analysis were processed using software eviews 8.From the results of the study stated that ROE, DER and LDR had effected PBV simultaneous and variable of ROE has positive and significant to company value. Abstrak: Tujuan penelitian ini adalah untuk mengetahui dan memformulasi rekomendasi pengaruh profitabilitas, struktur modal dan likuiditas terhadap nilai perusahaan pada bank yang go public periode tahun 2011\u20132014.Analisis data yang digunakan adalah analisis statistic inferensial. Penelitian ini juga menggunakan analisis regresi data panel. Dari hasil penelitian menyatakan bahwa return on equity (ROE) berpengaruh positif dan signifikan terhadap PBV sehingga perusahaan perlu memperhatikan dan terus meningkatkan ROE dengan cara mengambangkan prospek kegiatan dalam rangka untuk peningkatan laba. Nilai probabilitas terbesar adalah ROE jika dibandingkan dengan variabel independen lainnya. Oleh karena itu ROE dapat dipakai sebagai prediktor dalam memprediksi tentang nilai perusahaan.", "author" : [ { "dropping-particle" : "", "family" : "Lubis", "given" : "Ignatius Leonardus", "non-dropping-particle" : "", "parse-names" : false, "suffix" : "" }, { "dropping-particle" : "", "family" : "Sinaga", "given" : "Bonar M", "non-dropping-particle" : "", "parse-names" : false, "suffix" : "" }, { "dropping-particle" : "", "family" : "Sasongko", "given" : "Hendro", "non-dropping-particle" : "", "parse-names" : false, "suffix" : "" } ], "container-title" : "Jurnal Aplikasi Bisnis dan Manajemen", "id" : "ITEM-1", "issue" : "3", "issued" : { "date-parts" : [ [ "2017" ] ] }, "page" : "458-465", "title" : "Effect of Profitability,Capital Structures, and Liquidity to the Value of the Company", "type" : "article-journal", "volume" : "3" }, "uris" : [ "http://www.mendeley.com/documents/?uuid=f06ad6f6-7d9b-43f0-976f-8d04210b1426" ] } ], "mendeley" : { "formattedCitation" : "[15]", "plainTextFormattedCitation" : "[15]", "previouslyFormattedCitation" : "[15]" }, "properties" : { "noteIndex" : 4 }, "schema" : "https://github.com/citation-style-language/schema/raw/master/csl-citation.json" }</w:instrText>
      </w:r>
      <w:r w:rsidR="00E13233">
        <w:rPr>
          <w:rFonts w:ascii="Times New Roman" w:hAnsi="Times New Roman"/>
          <w:spacing w:val="1"/>
        </w:rPr>
        <w:fldChar w:fldCharType="separate"/>
      </w:r>
      <w:r w:rsidR="00E13233" w:rsidRPr="00E13233">
        <w:rPr>
          <w:rFonts w:ascii="Times New Roman" w:hAnsi="Times New Roman"/>
          <w:noProof/>
          <w:spacing w:val="1"/>
        </w:rPr>
        <w:t>[15]</w:t>
      </w:r>
      <w:r w:rsidR="00E13233">
        <w:rPr>
          <w:rFonts w:ascii="Times New Roman" w:hAnsi="Times New Roman"/>
          <w:spacing w:val="1"/>
        </w:rPr>
        <w:fldChar w:fldCharType="end"/>
      </w:r>
      <w:r w:rsidRPr="00D13141">
        <w:rPr>
          <w:rFonts w:ascii="Times New Roman" w:hAnsi="Times New Roman"/>
          <w:spacing w:val="1"/>
        </w:rPr>
        <w:t>, other research findings support this study. The title of this research is the impact of profitability, capital structure and liquidity on firm value. The results showed that the capital structure as measured by DER had no significant effect on firm value.</w:t>
      </w:r>
    </w:p>
    <w:p w14:paraId="5DC6B60E" w14:textId="2C3D47EF" w:rsidR="000D577A" w:rsidRPr="000D577A" w:rsidRDefault="00D13141" w:rsidP="00D13141">
      <w:pPr>
        <w:pStyle w:val="NoSpacing"/>
        <w:ind w:firstLine="567"/>
        <w:rPr>
          <w:rFonts w:ascii="Times New Roman" w:hAnsi="Times New Roman"/>
        </w:rPr>
      </w:pPr>
      <w:r w:rsidRPr="00D13141">
        <w:rPr>
          <w:rFonts w:ascii="Times New Roman" w:hAnsi="Times New Roman"/>
          <w:spacing w:val="1"/>
        </w:rPr>
        <w:t xml:space="preserve">Previous research is the same as the results according to Dwi </w:t>
      </w:r>
      <w:r w:rsidR="00E13233">
        <w:rPr>
          <w:rFonts w:ascii="Times New Roman" w:hAnsi="Times New Roman"/>
          <w:spacing w:val="1"/>
        </w:rPr>
        <w:fldChar w:fldCharType="begin" w:fldLock="1"/>
      </w:r>
      <w:r w:rsidR="00E13233">
        <w:rPr>
          <w:rFonts w:ascii="Times New Roman" w:hAnsi="Times New Roman"/>
          <w:spacing w:val="1"/>
        </w:rPr>
        <w:instrText>ADDIN CSL_CITATION { "citationItems" : [ { "id" : "ITEM-1", "itemData" : { "author" : [ { "dropping-particle" : "", "family" : "Dwi", "given" : "Astutik", "non-dropping-particle" : "", "parse-names" : false, "suffix" : "" } ], "container-title" : "STIE Semarang", "id" : "ITEM-1", "issue" : "1", "issued" : { "date-parts" : [ [ "2017" ] ] }, "page" : "35-53", "title" : "Pengaruh Aktivitas Rasio Keuangan Terhadap Nilai Perusahaan (Studi Pada Industri Manufaktur)", "type" : "article-journal", "volume" : "9" }, "uris" : [ "http://www.mendeley.com/documents/?uuid=010eecf6-f8d7-45a8-9e43-c0e9df3c4050" ] } ], "mendeley" : { "formattedCitation" : "[16]", "plainTextFormattedCitation" : "[16]", "previouslyFormattedCitation" : "[16]" }, "properties" : { "noteIndex" : 4 }, "schema" : "https://github.com/citation-style-language/schema/raw/master/csl-citation.json" }</w:instrText>
      </w:r>
      <w:r w:rsidR="00E13233">
        <w:rPr>
          <w:rFonts w:ascii="Times New Roman" w:hAnsi="Times New Roman"/>
          <w:spacing w:val="1"/>
        </w:rPr>
        <w:fldChar w:fldCharType="separate"/>
      </w:r>
      <w:r w:rsidR="00E13233" w:rsidRPr="00E13233">
        <w:rPr>
          <w:rFonts w:ascii="Times New Roman" w:hAnsi="Times New Roman"/>
          <w:noProof/>
          <w:spacing w:val="1"/>
        </w:rPr>
        <w:t>[16]</w:t>
      </w:r>
      <w:r w:rsidR="00E13233">
        <w:rPr>
          <w:rFonts w:ascii="Times New Roman" w:hAnsi="Times New Roman"/>
          <w:spacing w:val="1"/>
        </w:rPr>
        <w:fldChar w:fldCharType="end"/>
      </w:r>
      <w:r w:rsidR="00E13233">
        <w:rPr>
          <w:rFonts w:ascii="Times New Roman" w:hAnsi="Times New Roman"/>
          <w:spacing w:val="1"/>
        </w:rPr>
        <w:t xml:space="preserve">. </w:t>
      </w:r>
      <w:r w:rsidRPr="00D13141">
        <w:rPr>
          <w:rFonts w:ascii="Times New Roman" w:hAnsi="Times New Roman"/>
          <w:spacing w:val="1"/>
        </w:rPr>
        <w:t>The name of this research is the effect of financial ratio activities on firm value (research on manufacturing).</w:t>
      </w:r>
      <w:r w:rsidR="00E13233">
        <w:rPr>
          <w:rFonts w:ascii="Times New Roman" w:hAnsi="Times New Roman"/>
          <w:spacing w:val="1"/>
        </w:rPr>
        <w:t xml:space="preserve"> The results show that the debt </w:t>
      </w:r>
      <w:r w:rsidRPr="00D13141">
        <w:rPr>
          <w:rFonts w:ascii="Times New Roman" w:hAnsi="Times New Roman"/>
          <w:spacing w:val="1"/>
        </w:rPr>
        <w:t>equity ratio (DER) has no significant effect on firm value</w:t>
      </w:r>
      <w:r w:rsidR="000D577A" w:rsidRPr="000D577A">
        <w:rPr>
          <w:rFonts w:ascii="Times New Roman" w:hAnsi="Times New Roman"/>
        </w:rPr>
        <w:t>.</w:t>
      </w:r>
    </w:p>
    <w:p w14:paraId="6DB353A6" w14:textId="6200F8C9" w:rsidR="00161FCC" w:rsidRPr="000D577A" w:rsidRDefault="004E62C7" w:rsidP="009C61AB">
      <w:pPr>
        <w:pStyle w:val="Heading1"/>
        <w:rPr>
          <w:rFonts w:eastAsia="Calibri"/>
          <w:lang w:val="en-US"/>
        </w:rPr>
      </w:pPr>
      <w:r w:rsidRPr="000D577A">
        <w:rPr>
          <w:rFonts w:eastAsia="Calibri"/>
        </w:rPr>
        <w:t xml:space="preserve">4. </w:t>
      </w:r>
      <w:r w:rsidR="00F74C12" w:rsidRPr="000D577A">
        <w:rPr>
          <w:rFonts w:eastAsia="Calibri"/>
          <w:lang w:val="en-US"/>
        </w:rPr>
        <w:t>Conclussion</w:t>
      </w:r>
    </w:p>
    <w:p w14:paraId="72C1C051" w14:textId="66604646" w:rsidR="000D577A" w:rsidRPr="000D577A" w:rsidRDefault="00D13141" w:rsidP="000D577A">
      <w:pPr>
        <w:ind w:firstLine="567"/>
        <w:rPr>
          <w:rFonts w:eastAsia="Calibri"/>
          <w:szCs w:val="22"/>
        </w:rPr>
      </w:pPr>
      <w:r w:rsidRPr="00D13141">
        <w:rPr>
          <w:rFonts w:eastAsia="Calibri"/>
          <w:szCs w:val="22"/>
        </w:rPr>
        <w:t>Based on the results of data analysis and statistical hypothesis testing in this study, it can be concluded that debt policy has no significant effect on firm value in the Pulp and Paper sub-sector listed on the Indone</w:t>
      </w:r>
      <w:r>
        <w:rPr>
          <w:rFonts w:eastAsia="Calibri"/>
          <w:szCs w:val="22"/>
        </w:rPr>
        <w:t>sia Stock Exchange</w:t>
      </w:r>
      <w:r w:rsidR="000D577A" w:rsidRPr="000D577A">
        <w:rPr>
          <w:rFonts w:eastAsia="Calibri"/>
          <w:szCs w:val="22"/>
        </w:rPr>
        <w:t xml:space="preserve">. </w:t>
      </w:r>
    </w:p>
    <w:p w14:paraId="139D0137" w14:textId="7FB4CAA0" w:rsidR="004E62C7" w:rsidRPr="005A4F99" w:rsidRDefault="004E62C7" w:rsidP="00591F92">
      <w:pPr>
        <w:rPr>
          <w:rFonts w:eastAsia="Calibri"/>
        </w:rPr>
      </w:pPr>
    </w:p>
    <w:p w14:paraId="077E0A00" w14:textId="3648AF5D" w:rsidR="004673CD" w:rsidRDefault="00D61FA7" w:rsidP="005A4F99">
      <w:pPr>
        <w:pStyle w:val="Heading1"/>
      </w:pPr>
      <w:r>
        <w:t>Reference</w:t>
      </w:r>
    </w:p>
    <w:p w14:paraId="64E5B184" w14:textId="28F0A829" w:rsidR="00D61FA7" w:rsidRPr="00D61FA7" w:rsidRDefault="00D61FA7" w:rsidP="00D61FA7">
      <w:pPr>
        <w:widowControl w:val="0"/>
        <w:autoSpaceDE w:val="0"/>
        <w:autoSpaceDN w:val="0"/>
        <w:adjustRightInd w:val="0"/>
        <w:ind w:left="640" w:hanging="640"/>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D61FA7">
        <w:rPr>
          <w:noProof/>
          <w:szCs w:val="24"/>
        </w:rPr>
        <w:t>[1]</w:t>
      </w:r>
      <w:r w:rsidRPr="00D61FA7">
        <w:rPr>
          <w:noProof/>
          <w:szCs w:val="24"/>
        </w:rPr>
        <w:tab/>
        <w:t>L. Yulianti, “Pengaruh Keputusan Keuangan Dan Struktur Kepemilikan Terhadap Nilai Perusahaan (Studi Empiris Pada Perusahaan Manufaktur yang Terdaftar Di Bursa EfekIndonesia (BEI) Periode 2007 - 2011),” Universitas Muhammadiyah Surakarta, 2014.</w:t>
      </w:r>
    </w:p>
    <w:p w14:paraId="5AD802B9"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[2]</w:t>
      </w:r>
      <w:r w:rsidRPr="00D61FA7">
        <w:rPr>
          <w:noProof/>
          <w:szCs w:val="24"/>
        </w:rPr>
        <w:tab/>
        <w:t xml:space="preserve">Agus Sartono, </w:t>
      </w:r>
      <w:r w:rsidRPr="00D61FA7">
        <w:rPr>
          <w:i/>
          <w:iCs/>
          <w:noProof/>
          <w:szCs w:val="24"/>
        </w:rPr>
        <w:t>Manajemen Keuangan Teori dan Aplikasi</w:t>
      </w:r>
      <w:r w:rsidRPr="00D61FA7">
        <w:rPr>
          <w:noProof/>
          <w:szCs w:val="24"/>
        </w:rPr>
        <w:t>. Yogyakarta: BPFE, 2012.</w:t>
      </w:r>
    </w:p>
    <w:p w14:paraId="2BED5105"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lastRenderedPageBreak/>
        <w:t>[3]</w:t>
      </w:r>
      <w:r w:rsidRPr="00D61FA7">
        <w:rPr>
          <w:noProof/>
          <w:szCs w:val="24"/>
        </w:rPr>
        <w:tab/>
        <w:t xml:space="preserve">S. Husnan, </w:t>
      </w:r>
      <w:r w:rsidRPr="00D61FA7">
        <w:rPr>
          <w:i/>
          <w:iCs/>
          <w:noProof/>
          <w:szCs w:val="24"/>
        </w:rPr>
        <w:t>Manajemen Keuangan: Teori dan Penerapan</w:t>
      </w:r>
      <w:r w:rsidRPr="00D61FA7">
        <w:rPr>
          <w:noProof/>
          <w:szCs w:val="24"/>
        </w:rPr>
        <w:t>, Pertama. Yogyakarta: BPFE Yogyakarta, 2008.</w:t>
      </w:r>
    </w:p>
    <w:p w14:paraId="4A49F02D"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[4]</w:t>
      </w:r>
      <w:r w:rsidRPr="00D61FA7">
        <w:rPr>
          <w:noProof/>
          <w:szCs w:val="24"/>
        </w:rPr>
        <w:tab/>
        <w:t xml:space="preserve">S. Fenandar, I., Gany dan Raharja, “Pengaruh Keputusan Investasi, Keputusan Pendanaan, dan Kebijakan Deviden Terhadap Nilai Perusahaan,” </w:t>
      </w:r>
      <w:r w:rsidRPr="00D61FA7">
        <w:rPr>
          <w:i/>
          <w:iCs/>
          <w:noProof/>
          <w:szCs w:val="24"/>
        </w:rPr>
        <w:t>J. Akunt.</w:t>
      </w:r>
      <w:r w:rsidRPr="00D61FA7">
        <w:rPr>
          <w:noProof/>
          <w:szCs w:val="24"/>
        </w:rPr>
        <w:t>, vol. 1, no. 2, pp. 01–10, 2012.</w:t>
      </w:r>
    </w:p>
    <w:p w14:paraId="118FD381"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[5]</w:t>
      </w:r>
      <w:r w:rsidRPr="00D61FA7">
        <w:rPr>
          <w:noProof/>
          <w:szCs w:val="24"/>
        </w:rPr>
        <w:tab/>
        <w:t xml:space="preserve">A. H. Prasetyo, </w:t>
      </w:r>
      <w:r w:rsidRPr="00D61FA7">
        <w:rPr>
          <w:i/>
          <w:iCs/>
          <w:noProof/>
          <w:szCs w:val="24"/>
        </w:rPr>
        <w:t>Valuasi Perusahaan</w:t>
      </w:r>
      <w:r w:rsidRPr="00D61FA7">
        <w:rPr>
          <w:noProof/>
          <w:szCs w:val="24"/>
        </w:rPr>
        <w:t>. Jakarta: PPM, 2011.</w:t>
      </w:r>
    </w:p>
    <w:p w14:paraId="55B1B795"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[6]</w:t>
      </w:r>
      <w:r w:rsidRPr="00D61FA7">
        <w:rPr>
          <w:noProof/>
          <w:szCs w:val="24"/>
        </w:rPr>
        <w:tab/>
        <w:t xml:space="preserve">I Made Sudana, </w:t>
      </w:r>
      <w:r w:rsidRPr="00D61FA7">
        <w:rPr>
          <w:i/>
          <w:iCs/>
          <w:noProof/>
          <w:szCs w:val="24"/>
        </w:rPr>
        <w:t>Manajemen Keuangan Perusahaan</w:t>
      </w:r>
      <w:r w:rsidRPr="00D61FA7">
        <w:rPr>
          <w:noProof/>
          <w:szCs w:val="24"/>
        </w:rPr>
        <w:t>. Jakarta: Erlangga, 2015.</w:t>
      </w:r>
    </w:p>
    <w:p w14:paraId="1DDCA00E"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[7]</w:t>
      </w:r>
      <w:r w:rsidRPr="00D61FA7">
        <w:rPr>
          <w:noProof/>
          <w:szCs w:val="24"/>
        </w:rPr>
        <w:tab/>
        <w:t>M. Tiara, “Pengaruh Hutang Dan Earnings Per Share Terhadap Harga Saham Pada Perusaaan Farmasi Yang Terdaftar Di Bursa Efek Indonesia (BEI) Tahun 2007-2013,” Fakultas Ekonomi dan Bisnis Universitas Lampung, 2015.</w:t>
      </w:r>
    </w:p>
    <w:p w14:paraId="33F4F328"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[8]</w:t>
      </w:r>
      <w:r w:rsidRPr="00D61FA7">
        <w:rPr>
          <w:noProof/>
          <w:szCs w:val="24"/>
        </w:rPr>
        <w:tab/>
        <w:t xml:space="preserve">Bambang Riyanto, </w:t>
      </w:r>
      <w:r w:rsidRPr="00D61FA7">
        <w:rPr>
          <w:i/>
          <w:iCs/>
          <w:noProof/>
          <w:szCs w:val="24"/>
        </w:rPr>
        <w:t>Dasar-Dasar Pembelanjaan Perusahaan</w:t>
      </w:r>
      <w:r w:rsidRPr="00D61FA7">
        <w:rPr>
          <w:noProof/>
          <w:szCs w:val="24"/>
        </w:rPr>
        <w:t>. Yogyakarta: BPFE Yogyakarta, 2013.</w:t>
      </w:r>
    </w:p>
    <w:p w14:paraId="5721169A"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[9]</w:t>
      </w:r>
      <w:r w:rsidRPr="00D61FA7">
        <w:rPr>
          <w:noProof/>
          <w:szCs w:val="24"/>
        </w:rPr>
        <w:tab/>
        <w:t xml:space="preserve">Martono and A. Harjito, </w:t>
      </w:r>
      <w:r w:rsidRPr="00D61FA7">
        <w:rPr>
          <w:i/>
          <w:iCs/>
          <w:noProof/>
          <w:szCs w:val="24"/>
        </w:rPr>
        <w:t>Manajemen Keuangan</w:t>
      </w:r>
      <w:r w:rsidRPr="00D61FA7">
        <w:rPr>
          <w:noProof/>
          <w:szCs w:val="24"/>
        </w:rPr>
        <w:t>. Yogyakarta: Ekonisia, 2010.</w:t>
      </w:r>
    </w:p>
    <w:p w14:paraId="2B6D0051"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[10]</w:t>
      </w:r>
      <w:r w:rsidRPr="00D61FA7">
        <w:rPr>
          <w:noProof/>
          <w:szCs w:val="24"/>
        </w:rPr>
        <w:tab/>
        <w:t xml:space="preserve">S. Husnan, </w:t>
      </w:r>
      <w:r w:rsidRPr="00D61FA7">
        <w:rPr>
          <w:i/>
          <w:iCs/>
          <w:noProof/>
          <w:szCs w:val="24"/>
        </w:rPr>
        <w:t>Manajemen Keuangan: Teori dan Penerapan</w:t>
      </w:r>
      <w:r w:rsidRPr="00D61FA7">
        <w:rPr>
          <w:noProof/>
          <w:szCs w:val="24"/>
        </w:rPr>
        <w:t>. Yogyakarta: BPFE, 2015.</w:t>
      </w:r>
    </w:p>
    <w:p w14:paraId="0FB1EC42"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[11]</w:t>
      </w:r>
      <w:r w:rsidRPr="00D61FA7">
        <w:rPr>
          <w:noProof/>
          <w:szCs w:val="24"/>
        </w:rPr>
        <w:tab/>
        <w:t xml:space="preserve">Ranupandojo and Suad Husnan, </w:t>
      </w:r>
      <w:r w:rsidRPr="00D61FA7">
        <w:rPr>
          <w:i/>
          <w:iCs/>
          <w:noProof/>
          <w:szCs w:val="24"/>
        </w:rPr>
        <w:t>Manajemen Personalia</w:t>
      </w:r>
      <w:r w:rsidRPr="00D61FA7">
        <w:rPr>
          <w:noProof/>
          <w:szCs w:val="24"/>
        </w:rPr>
        <w:t>. Yogyakarta: BPFE, 2011.</w:t>
      </w:r>
    </w:p>
    <w:p w14:paraId="37C168BC"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[12]</w:t>
      </w:r>
      <w:r w:rsidRPr="00D61FA7">
        <w:rPr>
          <w:noProof/>
          <w:szCs w:val="24"/>
        </w:rPr>
        <w:tab/>
        <w:t xml:space="preserve">Sugiyono, </w:t>
      </w:r>
      <w:r w:rsidRPr="00D61FA7">
        <w:rPr>
          <w:i/>
          <w:iCs/>
          <w:noProof/>
          <w:szCs w:val="24"/>
        </w:rPr>
        <w:t>Metode Penelitian Pendekatan Kuantitatif dan Kualitatif dan R&amp;D</w:t>
      </w:r>
      <w:r w:rsidRPr="00D61FA7">
        <w:rPr>
          <w:noProof/>
          <w:szCs w:val="24"/>
        </w:rPr>
        <w:t>. Bandung: Alfabeta, 2015.</w:t>
      </w:r>
    </w:p>
    <w:p w14:paraId="11DBB616"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[13]</w:t>
      </w:r>
      <w:r w:rsidRPr="00D61FA7">
        <w:rPr>
          <w:noProof/>
          <w:szCs w:val="24"/>
        </w:rPr>
        <w:tab/>
        <w:t xml:space="preserve">I. Rahmantio, M. Saifi, and F. Nurlaily, “Pengaruh Debt to Equity Ratio, Return on Equity, Return on Asset dan Ukuran Perusahaan Terhadap Nilai Perusahaan (Studi pada Perusahaan Pertambangan yang Terdaftar di Bursa Efek Indonesia Tahun 2012-2016),” </w:t>
      </w:r>
      <w:r w:rsidRPr="00D61FA7">
        <w:rPr>
          <w:i/>
          <w:iCs/>
          <w:noProof/>
          <w:szCs w:val="24"/>
        </w:rPr>
        <w:t>J. Adm. Bisnis</w:t>
      </w:r>
      <w:r w:rsidRPr="00D61FA7">
        <w:rPr>
          <w:noProof/>
          <w:szCs w:val="24"/>
        </w:rPr>
        <w:t>, vol. 57, no. 1, pp. 151–159, 2018.</w:t>
      </w:r>
    </w:p>
    <w:p w14:paraId="34E52FE7"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[14]</w:t>
      </w:r>
      <w:r w:rsidRPr="00D61FA7">
        <w:rPr>
          <w:noProof/>
          <w:szCs w:val="24"/>
        </w:rPr>
        <w:tab/>
        <w:t xml:space="preserve">T. E. Prasetia, P. Tommy, and I. S. Saerang, “Struktur Modal, Ukuran Perusahaan Dan Risiko Perusahaan Terhadap Nilai Perusahaan Otomotif Yang Terdaftar Di Bei,” </w:t>
      </w:r>
      <w:r w:rsidRPr="00D61FA7">
        <w:rPr>
          <w:i/>
          <w:iCs/>
          <w:noProof/>
          <w:szCs w:val="24"/>
        </w:rPr>
        <w:t>Ukuran… J. EMBA</w:t>
      </w:r>
      <w:r w:rsidRPr="00D61FA7">
        <w:rPr>
          <w:noProof/>
          <w:szCs w:val="24"/>
        </w:rPr>
        <w:t>, vol. 8792, no. 2, pp. 879–889, 2014.</w:t>
      </w:r>
    </w:p>
    <w:p w14:paraId="576B7673" w14:textId="77777777" w:rsidR="00D61FA7" w:rsidRPr="00D61FA7" w:rsidRDefault="00D61FA7" w:rsidP="00D61FA7">
      <w:pPr>
        <w:widowControl w:val="0"/>
        <w:autoSpaceDE w:val="0"/>
        <w:autoSpaceDN w:val="0"/>
        <w:adjustRightInd w:val="0"/>
        <w:ind w:left="640" w:hanging="640"/>
        <w:rPr>
          <w:noProof/>
          <w:szCs w:val="24"/>
        </w:rPr>
      </w:pPr>
      <w:r w:rsidRPr="00D61FA7">
        <w:rPr>
          <w:noProof/>
          <w:szCs w:val="24"/>
        </w:rPr>
        <w:t>[15]</w:t>
      </w:r>
      <w:r w:rsidRPr="00D61FA7">
        <w:rPr>
          <w:noProof/>
          <w:szCs w:val="24"/>
        </w:rPr>
        <w:tab/>
        <w:t xml:space="preserve">I. L. Lubis, B. M. Sinaga, and H. Sasongko, “Effect of Profitability,Capital Structures, and Liquidity to the Value of the Company,” </w:t>
      </w:r>
      <w:r w:rsidRPr="00D61FA7">
        <w:rPr>
          <w:i/>
          <w:iCs/>
          <w:noProof/>
          <w:szCs w:val="24"/>
        </w:rPr>
        <w:t>J. Apl. Bisnis dan Manaj.</w:t>
      </w:r>
      <w:r w:rsidRPr="00D61FA7">
        <w:rPr>
          <w:noProof/>
          <w:szCs w:val="24"/>
        </w:rPr>
        <w:t>, vol. 3, no. 3, pp. 458–465, 2017.</w:t>
      </w:r>
    </w:p>
    <w:p w14:paraId="50AC0932" w14:textId="77777777" w:rsidR="00D61FA7" w:rsidRPr="00D61FA7" w:rsidRDefault="00D61FA7" w:rsidP="00D61FA7">
      <w:pPr>
        <w:widowControl w:val="0"/>
        <w:autoSpaceDE w:val="0"/>
        <w:autoSpaceDN w:val="0"/>
        <w:adjustRightInd w:val="0"/>
        <w:ind w:left="640" w:hanging="640"/>
        <w:rPr>
          <w:noProof/>
        </w:rPr>
      </w:pPr>
      <w:r w:rsidRPr="00D61FA7">
        <w:rPr>
          <w:noProof/>
          <w:szCs w:val="24"/>
        </w:rPr>
        <w:t>[16]</w:t>
      </w:r>
      <w:r w:rsidRPr="00D61FA7">
        <w:rPr>
          <w:noProof/>
          <w:szCs w:val="24"/>
        </w:rPr>
        <w:tab/>
        <w:t xml:space="preserve">A. Dwi, “Pengaruh Aktivitas Rasio Keuangan Terhadap Nilai Perusahaan (Studi Pada Industri Manufaktur),” </w:t>
      </w:r>
      <w:r w:rsidRPr="00D61FA7">
        <w:rPr>
          <w:i/>
          <w:iCs/>
          <w:noProof/>
          <w:szCs w:val="24"/>
        </w:rPr>
        <w:t>STIE Semarang</w:t>
      </w:r>
      <w:r w:rsidRPr="00D61FA7">
        <w:rPr>
          <w:noProof/>
          <w:szCs w:val="24"/>
        </w:rPr>
        <w:t>, vol. 9, no. 1, pp. 35–53, 2017.</w:t>
      </w:r>
    </w:p>
    <w:p w14:paraId="0B343150" w14:textId="07CB9A71" w:rsidR="00D61FA7" w:rsidRPr="00D61FA7" w:rsidRDefault="00D61FA7" w:rsidP="00D61FA7">
      <w:pPr>
        <w:rPr>
          <w:lang w:val="id-ID"/>
        </w:rPr>
      </w:pPr>
      <w:r>
        <w:rPr>
          <w:lang w:val="id-ID"/>
        </w:rPr>
        <w:fldChar w:fldCharType="end"/>
      </w:r>
    </w:p>
    <w:p w14:paraId="64AE28BE" w14:textId="2B7CF27A" w:rsidR="0060079E" w:rsidRPr="004815CC" w:rsidRDefault="0060079E" w:rsidP="00034308">
      <w:pPr>
        <w:widowControl w:val="0"/>
        <w:autoSpaceDE w:val="0"/>
        <w:autoSpaceDN w:val="0"/>
        <w:adjustRightInd w:val="0"/>
        <w:ind w:left="640" w:hanging="640"/>
        <w:rPr>
          <w:b/>
          <w:color w:val="FF0000"/>
          <w:szCs w:val="22"/>
        </w:rPr>
      </w:pPr>
    </w:p>
    <w:p w14:paraId="16BE750F" w14:textId="77777777" w:rsidR="00F2211D" w:rsidRPr="004815CC" w:rsidRDefault="00F2211D" w:rsidP="00034308">
      <w:pPr>
        <w:pStyle w:val="NormalWeb"/>
        <w:spacing w:before="0" w:after="0"/>
        <w:ind w:left="720" w:hanging="720"/>
        <w:rPr>
          <w:color w:val="FFFFFF"/>
          <w:sz w:val="22"/>
          <w:szCs w:val="22"/>
          <w:lang w:val="id-ID"/>
        </w:rPr>
      </w:pPr>
      <w:bookmarkStart w:id="1" w:name="_GoBack"/>
      <w:bookmarkEnd w:id="1"/>
    </w:p>
    <w:sectPr w:rsidR="00F2211D" w:rsidRPr="004815CC" w:rsidSect="00237FA9">
      <w:headerReference w:type="even" r:id="rId8"/>
      <w:headerReference w:type="default" r:id="rId9"/>
      <w:type w:val="continuous"/>
      <w:pgSz w:w="11907" w:h="16839" w:code="9"/>
      <w:pgMar w:top="1701" w:right="1701" w:bottom="1701" w:left="1701" w:header="992" w:footer="425" w:gutter="0"/>
      <w:pgNumType w:start="1" w:chapStyle="1"/>
      <w:cols w:space="45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4C126" w14:textId="77777777" w:rsidR="00AC0CC7" w:rsidRDefault="00AC0CC7">
      <w:r>
        <w:separator/>
      </w:r>
    </w:p>
  </w:endnote>
  <w:endnote w:type="continuationSeparator" w:id="0">
    <w:p w14:paraId="3C8DC86F" w14:textId="77777777" w:rsidR="00AC0CC7" w:rsidRDefault="00AC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172D1" w14:textId="77777777" w:rsidR="00AC0CC7" w:rsidRDefault="00AC0CC7">
      <w:r>
        <w:separator/>
      </w:r>
    </w:p>
  </w:footnote>
  <w:footnote w:type="continuationSeparator" w:id="0">
    <w:p w14:paraId="1D5FEC51" w14:textId="77777777" w:rsidR="00AC0CC7" w:rsidRDefault="00AC0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5BF4C" w14:textId="3ECA1695" w:rsidR="00C45203" w:rsidRPr="00FA3939" w:rsidRDefault="00C45203" w:rsidP="00D93442">
    <w:pPr>
      <w:pStyle w:val="Header"/>
      <w:ind w:right="360"/>
      <w:rPr>
        <w:sz w:val="16"/>
        <w:szCs w:val="16"/>
      </w:rPr>
    </w:pPr>
    <w:r w:rsidRPr="00FA3939">
      <w:rPr>
        <w:b/>
        <w:sz w:val="16"/>
        <w:szCs w:val="16"/>
      </w:rPr>
      <w:fldChar w:fldCharType="begin"/>
    </w:r>
    <w:r w:rsidRPr="00FA3939">
      <w:rPr>
        <w:b/>
        <w:sz w:val="16"/>
        <w:szCs w:val="16"/>
      </w:rPr>
      <w:instrText xml:space="preserve"> PAGE   \* MERGEFORMAT </w:instrText>
    </w:r>
    <w:r w:rsidRPr="00FA3939">
      <w:rPr>
        <w:b/>
        <w:sz w:val="16"/>
        <w:szCs w:val="16"/>
      </w:rPr>
      <w:fldChar w:fldCharType="separate"/>
    </w:r>
    <w:r w:rsidR="00D61FA7">
      <w:rPr>
        <w:b/>
        <w:noProof/>
        <w:sz w:val="16"/>
        <w:szCs w:val="16"/>
      </w:rPr>
      <w:t>4</w:t>
    </w:r>
    <w:r w:rsidRPr="00FA3939">
      <w:rPr>
        <w:b/>
        <w:sz w:val="16"/>
        <w:szCs w:val="16"/>
      </w:rPr>
      <w:fldChar w:fldCharType="end"/>
    </w:r>
    <w:r w:rsidRPr="00FA3939">
      <w:rPr>
        <w:sz w:val="16"/>
        <w:szCs w:val="16"/>
      </w:rPr>
      <w:t xml:space="preserve">   </w:t>
    </w:r>
    <w:r w:rsidR="00F278B0" w:rsidRPr="00F278B0">
      <w:rPr>
        <w:b/>
        <w:i/>
        <w:sz w:val="16"/>
        <w:szCs w:val="16"/>
      </w:rPr>
      <w:t xml:space="preserve">Journal of Applied Sciences, Management and Engineering </w:t>
    </w:r>
    <w:r w:rsidR="000F5622" w:rsidRPr="00F278B0">
      <w:rPr>
        <w:b/>
        <w:i/>
        <w:sz w:val="16"/>
        <w:szCs w:val="16"/>
      </w:rPr>
      <w:t>Technology</w:t>
    </w:r>
    <w:r w:rsidR="000F5622">
      <w:rPr>
        <w:b/>
        <w:i/>
        <w:sz w:val="16"/>
        <w:szCs w:val="16"/>
      </w:rPr>
      <w:t>,</w:t>
    </w:r>
    <w:r w:rsidR="00254163">
      <w:rPr>
        <w:i/>
        <w:sz w:val="16"/>
        <w:szCs w:val="16"/>
      </w:rPr>
      <w:t xml:space="preserve"> Vol</w:t>
    </w:r>
    <w:r w:rsidRPr="00FA3939">
      <w:rPr>
        <w:i/>
        <w:sz w:val="16"/>
        <w:szCs w:val="16"/>
      </w:rPr>
      <w:t xml:space="preserve"> </w:t>
    </w:r>
    <w:r w:rsidR="00F278B0">
      <w:rPr>
        <w:i/>
        <w:sz w:val="16"/>
        <w:szCs w:val="16"/>
      </w:rPr>
      <w:t>2</w:t>
    </w:r>
    <w:r w:rsidRPr="00FA3939">
      <w:rPr>
        <w:i/>
        <w:sz w:val="16"/>
        <w:szCs w:val="16"/>
      </w:rPr>
      <w:t xml:space="preserve">, No 1, </w:t>
    </w:r>
    <w:r w:rsidR="00F278B0">
      <w:rPr>
        <w:i/>
        <w:sz w:val="16"/>
        <w:szCs w:val="16"/>
      </w:rPr>
      <w:t>2021</w:t>
    </w:r>
    <w:r w:rsidR="00EB3040">
      <w:rPr>
        <w:i/>
        <w:sz w:val="16"/>
        <w:szCs w:val="16"/>
      </w:rPr>
      <w:t xml:space="preserve">: </w:t>
    </w:r>
    <w:r w:rsidR="00F278B0">
      <w:rPr>
        <w:i/>
        <w:sz w:val="16"/>
        <w:szCs w:val="16"/>
      </w:rPr>
      <w:t>x</w:t>
    </w:r>
    <w:r w:rsidR="00270A53">
      <w:rPr>
        <w:i/>
        <w:sz w:val="16"/>
        <w:szCs w:val="16"/>
      </w:rPr>
      <w:t>–</w:t>
    </w:r>
    <w:r w:rsidR="00F278B0">
      <w:rPr>
        <w:i/>
        <w:sz w:val="16"/>
        <w:szCs w:val="16"/>
      </w:rPr>
      <w:t>xx</w:t>
    </w:r>
  </w:p>
  <w:p w14:paraId="6918BF04" w14:textId="77777777" w:rsidR="00C45203" w:rsidRDefault="00C45203">
    <w:pPr>
      <w:pStyle w:val="Header"/>
    </w:pPr>
  </w:p>
  <w:p w14:paraId="7564F8C2" w14:textId="77777777" w:rsidR="00C45203" w:rsidRPr="00277581" w:rsidRDefault="00C45203" w:rsidP="00277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1729D" w14:textId="15D24761" w:rsidR="00C45203" w:rsidRPr="00270A53" w:rsidRDefault="00F278B0">
    <w:pPr>
      <w:pStyle w:val="Header"/>
      <w:jc w:val="right"/>
      <w:rPr>
        <w:sz w:val="16"/>
        <w:szCs w:val="16"/>
      </w:rPr>
    </w:pPr>
    <w:r>
      <w:rPr>
        <w:i/>
        <w:sz w:val="16"/>
        <w:szCs w:val="16"/>
      </w:rPr>
      <w:t xml:space="preserve">Last Name of </w:t>
    </w:r>
    <w:r w:rsidR="006806BF">
      <w:rPr>
        <w:i/>
        <w:sz w:val="16"/>
        <w:szCs w:val="16"/>
      </w:rPr>
      <w:t xml:space="preserve">the </w:t>
    </w:r>
    <w:r>
      <w:rPr>
        <w:i/>
        <w:sz w:val="16"/>
        <w:szCs w:val="16"/>
      </w:rPr>
      <w:t>First Author</w:t>
    </w:r>
    <w:r w:rsidR="00C45203" w:rsidRPr="00270A53">
      <w:rPr>
        <w:i/>
        <w:sz w:val="16"/>
        <w:szCs w:val="16"/>
      </w:rPr>
      <w:t xml:space="preserve">, </w:t>
    </w:r>
    <w:r>
      <w:rPr>
        <w:i/>
        <w:sz w:val="16"/>
        <w:szCs w:val="16"/>
      </w:rPr>
      <w:t>Title of the Paper</w:t>
    </w:r>
    <w:r w:rsidR="00C45203" w:rsidRPr="00270A53">
      <w:rPr>
        <w:i/>
        <w:sz w:val="16"/>
        <w:szCs w:val="16"/>
      </w:rPr>
      <w:t xml:space="preserve">    </w:t>
    </w:r>
    <w:r w:rsidR="00C45203" w:rsidRPr="00270A53">
      <w:rPr>
        <w:b/>
        <w:sz w:val="16"/>
        <w:szCs w:val="16"/>
      </w:rPr>
      <w:fldChar w:fldCharType="begin"/>
    </w:r>
    <w:r w:rsidR="00C45203" w:rsidRPr="00270A53">
      <w:rPr>
        <w:b/>
        <w:sz w:val="16"/>
        <w:szCs w:val="16"/>
      </w:rPr>
      <w:instrText xml:space="preserve"> PAGE   \* MERGEFORMAT </w:instrText>
    </w:r>
    <w:r w:rsidR="00C45203" w:rsidRPr="00270A53">
      <w:rPr>
        <w:b/>
        <w:sz w:val="16"/>
        <w:szCs w:val="16"/>
      </w:rPr>
      <w:fldChar w:fldCharType="separate"/>
    </w:r>
    <w:r w:rsidR="00D61FA7">
      <w:rPr>
        <w:b/>
        <w:noProof/>
        <w:sz w:val="16"/>
        <w:szCs w:val="16"/>
      </w:rPr>
      <w:t>3</w:t>
    </w:r>
    <w:r w:rsidR="00C45203" w:rsidRPr="00270A53">
      <w:rPr>
        <w:b/>
        <w:sz w:val="16"/>
        <w:szCs w:val="16"/>
      </w:rPr>
      <w:fldChar w:fldCharType="end"/>
    </w:r>
  </w:p>
  <w:p w14:paraId="7986E013" w14:textId="77777777" w:rsidR="00C45203" w:rsidRPr="00277581" w:rsidRDefault="00C45203" w:rsidP="00277581">
    <w:pPr>
      <w:pStyle w:val="Heade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0728"/>
    <w:multiLevelType w:val="hybridMultilevel"/>
    <w:tmpl w:val="CFCA233A"/>
    <w:lvl w:ilvl="0" w:tplc="C8702C32">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66B33"/>
    <w:multiLevelType w:val="hybridMultilevel"/>
    <w:tmpl w:val="F1DE66D6"/>
    <w:lvl w:ilvl="0" w:tplc="934095A0">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A04A5"/>
    <w:multiLevelType w:val="hybridMultilevel"/>
    <w:tmpl w:val="B2D0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221AD"/>
    <w:multiLevelType w:val="multilevel"/>
    <w:tmpl w:val="FFF649BC"/>
    <w:lvl w:ilvl="0">
      <w:start w:val="6"/>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4">
    <w:nsid w:val="11BC1B2A"/>
    <w:multiLevelType w:val="hybridMultilevel"/>
    <w:tmpl w:val="C27235C0"/>
    <w:lvl w:ilvl="0" w:tplc="5164FA98">
      <w:start w:val="1"/>
      <w:numFmt w:val="decimal"/>
      <w:lvlText w:val="%1."/>
      <w:lvlJc w:val="left"/>
      <w:pPr>
        <w:ind w:left="502" w:hanging="360"/>
      </w:pPr>
      <w:rPr>
        <w:rFonts w:hint="default"/>
      </w:rPr>
    </w:lvl>
    <w:lvl w:ilvl="1" w:tplc="C7F454D4">
      <w:start w:val="1"/>
      <w:numFmt w:val="decimal"/>
      <w:lvlText w:val="%2.1."/>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7652B53"/>
    <w:multiLevelType w:val="hybridMultilevel"/>
    <w:tmpl w:val="6AA814A6"/>
    <w:lvl w:ilvl="0" w:tplc="D902E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26FDD"/>
    <w:multiLevelType w:val="hybridMultilevel"/>
    <w:tmpl w:val="8DCA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F1117"/>
    <w:multiLevelType w:val="hybridMultilevel"/>
    <w:tmpl w:val="E46211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8B4733"/>
    <w:multiLevelType w:val="hybridMultilevel"/>
    <w:tmpl w:val="9306DB42"/>
    <w:lvl w:ilvl="0" w:tplc="D902E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6A1874"/>
    <w:multiLevelType w:val="hybridMultilevel"/>
    <w:tmpl w:val="F9640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DA64B5"/>
    <w:multiLevelType w:val="multilevel"/>
    <w:tmpl w:val="93AA73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5671EE6"/>
    <w:multiLevelType w:val="hybridMultilevel"/>
    <w:tmpl w:val="E80A7B52"/>
    <w:lvl w:ilvl="0" w:tplc="9AD6819A">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156C3"/>
    <w:multiLevelType w:val="hybridMultilevel"/>
    <w:tmpl w:val="AAFC24D6"/>
    <w:lvl w:ilvl="0" w:tplc="9AD6819A">
      <w:start w:val="1"/>
      <w:numFmt w:val="lowerLetter"/>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C1BF1"/>
    <w:multiLevelType w:val="hybridMultilevel"/>
    <w:tmpl w:val="E80A7B52"/>
    <w:lvl w:ilvl="0" w:tplc="9AD6819A">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960639"/>
    <w:multiLevelType w:val="multilevel"/>
    <w:tmpl w:val="F3E4F278"/>
    <w:lvl w:ilvl="0">
      <w:start w:val="6"/>
      <w:numFmt w:val="decimal"/>
      <w:lvlText w:val="%1."/>
      <w:lvlJc w:val="left"/>
      <w:pPr>
        <w:ind w:left="360" w:hanging="360"/>
      </w:pPr>
      <w:rPr>
        <w:rFonts w:eastAsia="Calibri" w:hint="default"/>
        <w:b w:val="0"/>
      </w:rPr>
    </w:lvl>
    <w:lvl w:ilvl="1">
      <w:start w:val="2"/>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5">
    <w:nsid w:val="55DB77D3"/>
    <w:multiLevelType w:val="multilevel"/>
    <w:tmpl w:val="5B5C6BF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B330F1D"/>
    <w:multiLevelType w:val="hybridMultilevel"/>
    <w:tmpl w:val="FE000E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D8339C"/>
    <w:multiLevelType w:val="multilevel"/>
    <w:tmpl w:val="6E7C26A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6C90706"/>
    <w:multiLevelType w:val="hybridMultilevel"/>
    <w:tmpl w:val="3EBC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050BE8"/>
    <w:multiLevelType w:val="hybridMultilevel"/>
    <w:tmpl w:val="547A3E9E"/>
    <w:lvl w:ilvl="0" w:tplc="C28AE3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416056"/>
    <w:multiLevelType w:val="hybridMultilevel"/>
    <w:tmpl w:val="219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B2583A"/>
    <w:multiLevelType w:val="multilevel"/>
    <w:tmpl w:val="BE7E5FC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ACC3851"/>
    <w:multiLevelType w:val="hybridMultilevel"/>
    <w:tmpl w:val="E80A7B52"/>
    <w:lvl w:ilvl="0" w:tplc="9AD6819A">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900DA3"/>
    <w:multiLevelType w:val="hybridMultilevel"/>
    <w:tmpl w:val="84AEA616"/>
    <w:lvl w:ilvl="0" w:tplc="D902E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122846"/>
    <w:multiLevelType w:val="singleLevel"/>
    <w:tmpl w:val="0409000F"/>
    <w:lvl w:ilvl="0">
      <w:start w:val="1"/>
      <w:numFmt w:val="decimal"/>
      <w:lvlText w:val="%1."/>
      <w:lvlJc w:val="left"/>
      <w:pPr>
        <w:tabs>
          <w:tab w:val="num" w:pos="360"/>
        </w:tabs>
        <w:ind w:left="360" w:hanging="360"/>
      </w:pPr>
    </w:lvl>
  </w:abstractNum>
  <w:num w:numId="1">
    <w:abstractNumId w:val="24"/>
  </w:num>
  <w:num w:numId="2">
    <w:abstractNumId w:val="9"/>
  </w:num>
  <w:num w:numId="3">
    <w:abstractNumId w:val="8"/>
  </w:num>
  <w:num w:numId="4">
    <w:abstractNumId w:val="5"/>
  </w:num>
  <w:num w:numId="5">
    <w:abstractNumId w:val="2"/>
  </w:num>
  <w:num w:numId="6">
    <w:abstractNumId w:val="20"/>
  </w:num>
  <w:num w:numId="7">
    <w:abstractNumId w:val="18"/>
  </w:num>
  <w:num w:numId="8">
    <w:abstractNumId w:val="1"/>
  </w:num>
  <w:num w:numId="9">
    <w:abstractNumId w:val="23"/>
  </w:num>
  <w:num w:numId="10">
    <w:abstractNumId w:val="3"/>
  </w:num>
  <w:num w:numId="11">
    <w:abstractNumId w:val="21"/>
  </w:num>
  <w:num w:numId="12">
    <w:abstractNumId w:val="14"/>
  </w:num>
  <w:num w:numId="13">
    <w:abstractNumId w:val="0"/>
  </w:num>
  <w:num w:numId="14">
    <w:abstractNumId w:val="11"/>
  </w:num>
  <w:num w:numId="15">
    <w:abstractNumId w:val="4"/>
  </w:num>
  <w:num w:numId="16">
    <w:abstractNumId w:val="15"/>
  </w:num>
  <w:num w:numId="17">
    <w:abstractNumId w:val="22"/>
  </w:num>
  <w:num w:numId="18">
    <w:abstractNumId w:val="12"/>
  </w:num>
  <w:num w:numId="19">
    <w:abstractNumId w:val="13"/>
  </w:num>
  <w:num w:numId="20">
    <w:abstractNumId w:val="10"/>
  </w:num>
  <w:num w:numId="21">
    <w:abstractNumId w:val="16"/>
  </w:num>
  <w:num w:numId="22">
    <w:abstractNumId w:val="7"/>
  </w:num>
  <w:num w:numId="23">
    <w:abstractNumId w:val="17"/>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mirrorMargins/>
  <w:hideSpellingErrors/>
  <w:proofState w:grammar="clean"/>
  <w:defaultTabStop w:val="720"/>
  <w:evenAndOddHeaders/>
  <w:drawingGridHorizontalSpacing w:val="10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C4"/>
    <w:rsid w:val="00011975"/>
    <w:rsid w:val="000201F3"/>
    <w:rsid w:val="000262C4"/>
    <w:rsid w:val="00034308"/>
    <w:rsid w:val="00035621"/>
    <w:rsid w:val="000369BA"/>
    <w:rsid w:val="00051636"/>
    <w:rsid w:val="00056363"/>
    <w:rsid w:val="000616C9"/>
    <w:rsid w:val="00066DA6"/>
    <w:rsid w:val="00067C6A"/>
    <w:rsid w:val="0007007C"/>
    <w:rsid w:val="00075845"/>
    <w:rsid w:val="00075B79"/>
    <w:rsid w:val="000777D0"/>
    <w:rsid w:val="00082E58"/>
    <w:rsid w:val="0008322E"/>
    <w:rsid w:val="000906E6"/>
    <w:rsid w:val="00090DEC"/>
    <w:rsid w:val="000940CC"/>
    <w:rsid w:val="0009721C"/>
    <w:rsid w:val="000A4CB0"/>
    <w:rsid w:val="000A7212"/>
    <w:rsid w:val="000C5FA1"/>
    <w:rsid w:val="000D0752"/>
    <w:rsid w:val="000D577A"/>
    <w:rsid w:val="000D7B1B"/>
    <w:rsid w:val="000E1E35"/>
    <w:rsid w:val="000F3560"/>
    <w:rsid w:val="000F54EB"/>
    <w:rsid w:val="000F5622"/>
    <w:rsid w:val="000F5F74"/>
    <w:rsid w:val="001004D3"/>
    <w:rsid w:val="0011006F"/>
    <w:rsid w:val="001137E9"/>
    <w:rsid w:val="00114182"/>
    <w:rsid w:val="00116C4D"/>
    <w:rsid w:val="00117BA7"/>
    <w:rsid w:val="00117C3C"/>
    <w:rsid w:val="001352D6"/>
    <w:rsid w:val="00135CAB"/>
    <w:rsid w:val="001377C7"/>
    <w:rsid w:val="00141E39"/>
    <w:rsid w:val="001429BC"/>
    <w:rsid w:val="00147F82"/>
    <w:rsid w:val="00152A54"/>
    <w:rsid w:val="001543F4"/>
    <w:rsid w:val="00161FCC"/>
    <w:rsid w:val="001B0DD3"/>
    <w:rsid w:val="001B104B"/>
    <w:rsid w:val="001B2755"/>
    <w:rsid w:val="001C0C4F"/>
    <w:rsid w:val="001C4433"/>
    <w:rsid w:val="001C4BA0"/>
    <w:rsid w:val="001D1F8E"/>
    <w:rsid w:val="001D5752"/>
    <w:rsid w:val="001E7E9E"/>
    <w:rsid w:val="001F24C3"/>
    <w:rsid w:val="001F48E1"/>
    <w:rsid w:val="001F5DBE"/>
    <w:rsid w:val="001F6C02"/>
    <w:rsid w:val="0020139C"/>
    <w:rsid w:val="00203A2C"/>
    <w:rsid w:val="00206218"/>
    <w:rsid w:val="002066A7"/>
    <w:rsid w:val="002120AB"/>
    <w:rsid w:val="00213B60"/>
    <w:rsid w:val="00215513"/>
    <w:rsid w:val="00223E45"/>
    <w:rsid w:val="00237FA9"/>
    <w:rsid w:val="0024288D"/>
    <w:rsid w:val="002506FC"/>
    <w:rsid w:val="00254163"/>
    <w:rsid w:val="002567DE"/>
    <w:rsid w:val="0025681A"/>
    <w:rsid w:val="00256D97"/>
    <w:rsid w:val="0025735B"/>
    <w:rsid w:val="00265976"/>
    <w:rsid w:val="002662F0"/>
    <w:rsid w:val="00270A53"/>
    <w:rsid w:val="00277581"/>
    <w:rsid w:val="002864B7"/>
    <w:rsid w:val="00287298"/>
    <w:rsid w:val="00290679"/>
    <w:rsid w:val="002924CA"/>
    <w:rsid w:val="002A03C3"/>
    <w:rsid w:val="002A0D3A"/>
    <w:rsid w:val="002A31A0"/>
    <w:rsid w:val="002A37BB"/>
    <w:rsid w:val="002A47FA"/>
    <w:rsid w:val="002B5B30"/>
    <w:rsid w:val="002C3248"/>
    <w:rsid w:val="002E62BE"/>
    <w:rsid w:val="002F50B4"/>
    <w:rsid w:val="002F5BFF"/>
    <w:rsid w:val="002F703A"/>
    <w:rsid w:val="00320A44"/>
    <w:rsid w:val="00324F2A"/>
    <w:rsid w:val="003255DE"/>
    <w:rsid w:val="0032623D"/>
    <w:rsid w:val="0033116E"/>
    <w:rsid w:val="00333F29"/>
    <w:rsid w:val="003341AD"/>
    <w:rsid w:val="003372A1"/>
    <w:rsid w:val="00342053"/>
    <w:rsid w:val="00352606"/>
    <w:rsid w:val="003534C2"/>
    <w:rsid w:val="00354D72"/>
    <w:rsid w:val="00370305"/>
    <w:rsid w:val="00384572"/>
    <w:rsid w:val="00390853"/>
    <w:rsid w:val="00391720"/>
    <w:rsid w:val="00395E9D"/>
    <w:rsid w:val="003A3DB0"/>
    <w:rsid w:val="003C2048"/>
    <w:rsid w:val="003C32D7"/>
    <w:rsid w:val="003C445D"/>
    <w:rsid w:val="003D1EC4"/>
    <w:rsid w:val="003E18E4"/>
    <w:rsid w:val="003F0BE4"/>
    <w:rsid w:val="003F6F5C"/>
    <w:rsid w:val="004036A0"/>
    <w:rsid w:val="0040396D"/>
    <w:rsid w:val="004100E9"/>
    <w:rsid w:val="00411FD4"/>
    <w:rsid w:val="00413521"/>
    <w:rsid w:val="00416E47"/>
    <w:rsid w:val="00420102"/>
    <w:rsid w:val="004230B9"/>
    <w:rsid w:val="00424669"/>
    <w:rsid w:val="00426A0F"/>
    <w:rsid w:val="00433721"/>
    <w:rsid w:val="00443FAC"/>
    <w:rsid w:val="00444812"/>
    <w:rsid w:val="00451535"/>
    <w:rsid w:val="00456DD2"/>
    <w:rsid w:val="004657FB"/>
    <w:rsid w:val="004673CD"/>
    <w:rsid w:val="00473E67"/>
    <w:rsid w:val="00475D24"/>
    <w:rsid w:val="0047660A"/>
    <w:rsid w:val="00480B60"/>
    <w:rsid w:val="004815CC"/>
    <w:rsid w:val="0048575D"/>
    <w:rsid w:val="00492EB5"/>
    <w:rsid w:val="004B4257"/>
    <w:rsid w:val="004B51F5"/>
    <w:rsid w:val="004B7A15"/>
    <w:rsid w:val="004C275E"/>
    <w:rsid w:val="004C3372"/>
    <w:rsid w:val="004C6481"/>
    <w:rsid w:val="004C6856"/>
    <w:rsid w:val="004D565A"/>
    <w:rsid w:val="004E3E69"/>
    <w:rsid w:val="004E4470"/>
    <w:rsid w:val="004E62C7"/>
    <w:rsid w:val="004F259E"/>
    <w:rsid w:val="00510461"/>
    <w:rsid w:val="00511F89"/>
    <w:rsid w:val="005149AD"/>
    <w:rsid w:val="00517E52"/>
    <w:rsid w:val="00525037"/>
    <w:rsid w:val="005251CA"/>
    <w:rsid w:val="00526313"/>
    <w:rsid w:val="005349EA"/>
    <w:rsid w:val="00540173"/>
    <w:rsid w:val="00544FC2"/>
    <w:rsid w:val="005473DE"/>
    <w:rsid w:val="00562A23"/>
    <w:rsid w:val="005715F9"/>
    <w:rsid w:val="005754FD"/>
    <w:rsid w:val="005775A6"/>
    <w:rsid w:val="005811FD"/>
    <w:rsid w:val="00581861"/>
    <w:rsid w:val="005826B5"/>
    <w:rsid w:val="00586FFC"/>
    <w:rsid w:val="00591527"/>
    <w:rsid w:val="00591F92"/>
    <w:rsid w:val="005954EE"/>
    <w:rsid w:val="005A0C70"/>
    <w:rsid w:val="005A14B0"/>
    <w:rsid w:val="005A4F99"/>
    <w:rsid w:val="005A505A"/>
    <w:rsid w:val="005B58C1"/>
    <w:rsid w:val="005C42F6"/>
    <w:rsid w:val="005D0F5A"/>
    <w:rsid w:val="005E4C34"/>
    <w:rsid w:val="005E666D"/>
    <w:rsid w:val="0060079E"/>
    <w:rsid w:val="00602E96"/>
    <w:rsid w:val="00604DB0"/>
    <w:rsid w:val="0061204D"/>
    <w:rsid w:val="00623E08"/>
    <w:rsid w:val="00623FB9"/>
    <w:rsid w:val="006274BD"/>
    <w:rsid w:val="00634D1B"/>
    <w:rsid w:val="00637114"/>
    <w:rsid w:val="006444F0"/>
    <w:rsid w:val="006466F7"/>
    <w:rsid w:val="00653858"/>
    <w:rsid w:val="00664097"/>
    <w:rsid w:val="0066639D"/>
    <w:rsid w:val="00670504"/>
    <w:rsid w:val="006806BF"/>
    <w:rsid w:val="00680836"/>
    <w:rsid w:val="00681C02"/>
    <w:rsid w:val="00686725"/>
    <w:rsid w:val="00687C46"/>
    <w:rsid w:val="00692BA6"/>
    <w:rsid w:val="006A2025"/>
    <w:rsid w:val="006A5AF0"/>
    <w:rsid w:val="006C21BB"/>
    <w:rsid w:val="006C7541"/>
    <w:rsid w:val="006C76F5"/>
    <w:rsid w:val="006D1D34"/>
    <w:rsid w:val="006D6F17"/>
    <w:rsid w:val="006E3ECA"/>
    <w:rsid w:val="006E6E38"/>
    <w:rsid w:val="006E768B"/>
    <w:rsid w:val="006F5B14"/>
    <w:rsid w:val="006F7506"/>
    <w:rsid w:val="006F7683"/>
    <w:rsid w:val="00707652"/>
    <w:rsid w:val="007157EC"/>
    <w:rsid w:val="007206D1"/>
    <w:rsid w:val="00721EA0"/>
    <w:rsid w:val="00722CB3"/>
    <w:rsid w:val="00731271"/>
    <w:rsid w:val="0073211A"/>
    <w:rsid w:val="00735A37"/>
    <w:rsid w:val="00735E8A"/>
    <w:rsid w:val="00736C51"/>
    <w:rsid w:val="00746182"/>
    <w:rsid w:val="0074796A"/>
    <w:rsid w:val="00756467"/>
    <w:rsid w:val="00765403"/>
    <w:rsid w:val="00777F98"/>
    <w:rsid w:val="00780044"/>
    <w:rsid w:val="00782602"/>
    <w:rsid w:val="007836B4"/>
    <w:rsid w:val="00795BA3"/>
    <w:rsid w:val="00796FE7"/>
    <w:rsid w:val="007A69E5"/>
    <w:rsid w:val="007A6BEF"/>
    <w:rsid w:val="007B1377"/>
    <w:rsid w:val="007B1F55"/>
    <w:rsid w:val="007B1F8C"/>
    <w:rsid w:val="007B2688"/>
    <w:rsid w:val="007C4DEF"/>
    <w:rsid w:val="007C793D"/>
    <w:rsid w:val="007D5DF8"/>
    <w:rsid w:val="007E2106"/>
    <w:rsid w:val="007E3762"/>
    <w:rsid w:val="007E4E19"/>
    <w:rsid w:val="007E5E0B"/>
    <w:rsid w:val="007F1103"/>
    <w:rsid w:val="007F12B8"/>
    <w:rsid w:val="007F4742"/>
    <w:rsid w:val="007F7C15"/>
    <w:rsid w:val="00801B38"/>
    <w:rsid w:val="00804A4F"/>
    <w:rsid w:val="00815E40"/>
    <w:rsid w:val="00821DA3"/>
    <w:rsid w:val="00826073"/>
    <w:rsid w:val="00827249"/>
    <w:rsid w:val="00827C75"/>
    <w:rsid w:val="0083125D"/>
    <w:rsid w:val="00837636"/>
    <w:rsid w:val="0084103F"/>
    <w:rsid w:val="00843A44"/>
    <w:rsid w:val="008467AF"/>
    <w:rsid w:val="008509AF"/>
    <w:rsid w:val="00856846"/>
    <w:rsid w:val="00864062"/>
    <w:rsid w:val="00874A85"/>
    <w:rsid w:val="00877B27"/>
    <w:rsid w:val="008811D5"/>
    <w:rsid w:val="00887DCC"/>
    <w:rsid w:val="00891788"/>
    <w:rsid w:val="008947EF"/>
    <w:rsid w:val="008B7085"/>
    <w:rsid w:val="008C6CF9"/>
    <w:rsid w:val="008D365A"/>
    <w:rsid w:val="008D6CDD"/>
    <w:rsid w:val="008E29F4"/>
    <w:rsid w:val="008E318F"/>
    <w:rsid w:val="008E6477"/>
    <w:rsid w:val="008E6543"/>
    <w:rsid w:val="008E6B1B"/>
    <w:rsid w:val="008F011F"/>
    <w:rsid w:val="008F5BF2"/>
    <w:rsid w:val="00900B11"/>
    <w:rsid w:val="00902404"/>
    <w:rsid w:val="009126CA"/>
    <w:rsid w:val="00913092"/>
    <w:rsid w:val="009228D9"/>
    <w:rsid w:val="00926187"/>
    <w:rsid w:val="00927181"/>
    <w:rsid w:val="009275CC"/>
    <w:rsid w:val="00941A5B"/>
    <w:rsid w:val="00944154"/>
    <w:rsid w:val="00953246"/>
    <w:rsid w:val="009567D2"/>
    <w:rsid w:val="00960D56"/>
    <w:rsid w:val="00972533"/>
    <w:rsid w:val="00972B12"/>
    <w:rsid w:val="0098035B"/>
    <w:rsid w:val="009854A6"/>
    <w:rsid w:val="00986491"/>
    <w:rsid w:val="009923F9"/>
    <w:rsid w:val="00993ABF"/>
    <w:rsid w:val="00993B97"/>
    <w:rsid w:val="009A0F8D"/>
    <w:rsid w:val="009A29B5"/>
    <w:rsid w:val="009A6E9B"/>
    <w:rsid w:val="009B2B12"/>
    <w:rsid w:val="009C10EE"/>
    <w:rsid w:val="009C15B2"/>
    <w:rsid w:val="009C22F3"/>
    <w:rsid w:val="009C537E"/>
    <w:rsid w:val="009C61AB"/>
    <w:rsid w:val="009D236F"/>
    <w:rsid w:val="009D4250"/>
    <w:rsid w:val="009F0676"/>
    <w:rsid w:val="009F3261"/>
    <w:rsid w:val="009F59CC"/>
    <w:rsid w:val="00A05A31"/>
    <w:rsid w:val="00A1659A"/>
    <w:rsid w:val="00A1790C"/>
    <w:rsid w:val="00A21446"/>
    <w:rsid w:val="00A2343E"/>
    <w:rsid w:val="00A24105"/>
    <w:rsid w:val="00A25B8A"/>
    <w:rsid w:val="00A260A2"/>
    <w:rsid w:val="00A26215"/>
    <w:rsid w:val="00A32358"/>
    <w:rsid w:val="00A41A83"/>
    <w:rsid w:val="00A429D2"/>
    <w:rsid w:val="00A45EC3"/>
    <w:rsid w:val="00A46F3D"/>
    <w:rsid w:val="00A55961"/>
    <w:rsid w:val="00A570FD"/>
    <w:rsid w:val="00A714E5"/>
    <w:rsid w:val="00A72EEF"/>
    <w:rsid w:val="00A767C4"/>
    <w:rsid w:val="00A806D5"/>
    <w:rsid w:val="00A82F9C"/>
    <w:rsid w:val="00A920F5"/>
    <w:rsid w:val="00A92524"/>
    <w:rsid w:val="00AA2FAB"/>
    <w:rsid w:val="00AA332C"/>
    <w:rsid w:val="00AA48F1"/>
    <w:rsid w:val="00AA4BD5"/>
    <w:rsid w:val="00AB0AC5"/>
    <w:rsid w:val="00AB2D68"/>
    <w:rsid w:val="00AB6EB7"/>
    <w:rsid w:val="00AC0CC7"/>
    <w:rsid w:val="00AC338D"/>
    <w:rsid w:val="00AD700E"/>
    <w:rsid w:val="00AE42A4"/>
    <w:rsid w:val="00AE7D3D"/>
    <w:rsid w:val="00B00763"/>
    <w:rsid w:val="00B01E13"/>
    <w:rsid w:val="00B05214"/>
    <w:rsid w:val="00B05F79"/>
    <w:rsid w:val="00B06DA2"/>
    <w:rsid w:val="00B07394"/>
    <w:rsid w:val="00B2074A"/>
    <w:rsid w:val="00B34D64"/>
    <w:rsid w:val="00B40A7E"/>
    <w:rsid w:val="00B421EE"/>
    <w:rsid w:val="00B441D4"/>
    <w:rsid w:val="00B459B2"/>
    <w:rsid w:val="00B47729"/>
    <w:rsid w:val="00B478B1"/>
    <w:rsid w:val="00B479C7"/>
    <w:rsid w:val="00B64921"/>
    <w:rsid w:val="00B6495F"/>
    <w:rsid w:val="00B67790"/>
    <w:rsid w:val="00B710F2"/>
    <w:rsid w:val="00B72573"/>
    <w:rsid w:val="00B73D51"/>
    <w:rsid w:val="00B76554"/>
    <w:rsid w:val="00B77FA6"/>
    <w:rsid w:val="00B8117E"/>
    <w:rsid w:val="00B8779A"/>
    <w:rsid w:val="00B87C58"/>
    <w:rsid w:val="00B931F8"/>
    <w:rsid w:val="00B9775D"/>
    <w:rsid w:val="00BA0C53"/>
    <w:rsid w:val="00BA1153"/>
    <w:rsid w:val="00BA27B2"/>
    <w:rsid w:val="00BA40EC"/>
    <w:rsid w:val="00BB34F0"/>
    <w:rsid w:val="00BB4A27"/>
    <w:rsid w:val="00BC650A"/>
    <w:rsid w:val="00BD06C6"/>
    <w:rsid w:val="00BD47F7"/>
    <w:rsid w:val="00BD69AE"/>
    <w:rsid w:val="00BD71AF"/>
    <w:rsid w:val="00BE13D6"/>
    <w:rsid w:val="00BF23E9"/>
    <w:rsid w:val="00C03C8E"/>
    <w:rsid w:val="00C04421"/>
    <w:rsid w:val="00C0692B"/>
    <w:rsid w:val="00C127C3"/>
    <w:rsid w:val="00C15F8B"/>
    <w:rsid w:val="00C17B8A"/>
    <w:rsid w:val="00C21F14"/>
    <w:rsid w:val="00C21F66"/>
    <w:rsid w:val="00C24E9A"/>
    <w:rsid w:val="00C312EA"/>
    <w:rsid w:val="00C34429"/>
    <w:rsid w:val="00C40AE1"/>
    <w:rsid w:val="00C45203"/>
    <w:rsid w:val="00C501DA"/>
    <w:rsid w:val="00C51B2F"/>
    <w:rsid w:val="00C653B1"/>
    <w:rsid w:val="00C75C59"/>
    <w:rsid w:val="00C83CD2"/>
    <w:rsid w:val="00C963BC"/>
    <w:rsid w:val="00CA49B8"/>
    <w:rsid w:val="00CA7E87"/>
    <w:rsid w:val="00CB6BD8"/>
    <w:rsid w:val="00CC3A40"/>
    <w:rsid w:val="00CC552F"/>
    <w:rsid w:val="00CC7E1E"/>
    <w:rsid w:val="00CD6691"/>
    <w:rsid w:val="00CE2F0B"/>
    <w:rsid w:val="00CE485D"/>
    <w:rsid w:val="00CE55D4"/>
    <w:rsid w:val="00CE7BC5"/>
    <w:rsid w:val="00CF6FE0"/>
    <w:rsid w:val="00D066EF"/>
    <w:rsid w:val="00D11E53"/>
    <w:rsid w:val="00D13141"/>
    <w:rsid w:val="00D14DF3"/>
    <w:rsid w:val="00D158FE"/>
    <w:rsid w:val="00D22BF5"/>
    <w:rsid w:val="00D32A6E"/>
    <w:rsid w:val="00D32EF4"/>
    <w:rsid w:val="00D34967"/>
    <w:rsid w:val="00D34A3C"/>
    <w:rsid w:val="00D42F08"/>
    <w:rsid w:val="00D51A4F"/>
    <w:rsid w:val="00D56672"/>
    <w:rsid w:val="00D61FA7"/>
    <w:rsid w:val="00D67835"/>
    <w:rsid w:val="00D75FB5"/>
    <w:rsid w:val="00D91798"/>
    <w:rsid w:val="00D91A9E"/>
    <w:rsid w:val="00D93442"/>
    <w:rsid w:val="00D93F3D"/>
    <w:rsid w:val="00D957B7"/>
    <w:rsid w:val="00D95A4C"/>
    <w:rsid w:val="00D95DC8"/>
    <w:rsid w:val="00D962B9"/>
    <w:rsid w:val="00DA065A"/>
    <w:rsid w:val="00DB3F51"/>
    <w:rsid w:val="00DC180E"/>
    <w:rsid w:val="00DC4BDD"/>
    <w:rsid w:val="00DC6168"/>
    <w:rsid w:val="00DD3A75"/>
    <w:rsid w:val="00DD65B5"/>
    <w:rsid w:val="00DE0795"/>
    <w:rsid w:val="00DE0B1A"/>
    <w:rsid w:val="00DF1C04"/>
    <w:rsid w:val="00DF6300"/>
    <w:rsid w:val="00E008DE"/>
    <w:rsid w:val="00E0121B"/>
    <w:rsid w:val="00E13233"/>
    <w:rsid w:val="00E13C78"/>
    <w:rsid w:val="00E17255"/>
    <w:rsid w:val="00E17CE5"/>
    <w:rsid w:val="00E20BD9"/>
    <w:rsid w:val="00E32D9F"/>
    <w:rsid w:val="00E40372"/>
    <w:rsid w:val="00E41D4D"/>
    <w:rsid w:val="00E44137"/>
    <w:rsid w:val="00E52EC5"/>
    <w:rsid w:val="00E57823"/>
    <w:rsid w:val="00E60086"/>
    <w:rsid w:val="00E61415"/>
    <w:rsid w:val="00E65B82"/>
    <w:rsid w:val="00E70C32"/>
    <w:rsid w:val="00E72ED1"/>
    <w:rsid w:val="00E80999"/>
    <w:rsid w:val="00E813C4"/>
    <w:rsid w:val="00E951C9"/>
    <w:rsid w:val="00E95EDD"/>
    <w:rsid w:val="00E975CC"/>
    <w:rsid w:val="00EA3F96"/>
    <w:rsid w:val="00EB3040"/>
    <w:rsid w:val="00ED6043"/>
    <w:rsid w:val="00EE3B3B"/>
    <w:rsid w:val="00EF3F86"/>
    <w:rsid w:val="00EF5EEF"/>
    <w:rsid w:val="00F01DFD"/>
    <w:rsid w:val="00F03719"/>
    <w:rsid w:val="00F107A1"/>
    <w:rsid w:val="00F1093E"/>
    <w:rsid w:val="00F10AFD"/>
    <w:rsid w:val="00F20E04"/>
    <w:rsid w:val="00F20E7D"/>
    <w:rsid w:val="00F2211D"/>
    <w:rsid w:val="00F234AD"/>
    <w:rsid w:val="00F278B0"/>
    <w:rsid w:val="00F33060"/>
    <w:rsid w:val="00F33E9B"/>
    <w:rsid w:val="00F34CAE"/>
    <w:rsid w:val="00F354B8"/>
    <w:rsid w:val="00F4592F"/>
    <w:rsid w:val="00F5014B"/>
    <w:rsid w:val="00F54C98"/>
    <w:rsid w:val="00F6063E"/>
    <w:rsid w:val="00F60E90"/>
    <w:rsid w:val="00F6219B"/>
    <w:rsid w:val="00F664DC"/>
    <w:rsid w:val="00F66BA6"/>
    <w:rsid w:val="00F6745F"/>
    <w:rsid w:val="00F72C55"/>
    <w:rsid w:val="00F74391"/>
    <w:rsid w:val="00F74C12"/>
    <w:rsid w:val="00F77DF0"/>
    <w:rsid w:val="00F834B0"/>
    <w:rsid w:val="00F85D42"/>
    <w:rsid w:val="00F97DB9"/>
    <w:rsid w:val="00FA3939"/>
    <w:rsid w:val="00FB43B2"/>
    <w:rsid w:val="00FC2067"/>
    <w:rsid w:val="00FC2A97"/>
    <w:rsid w:val="00FC2B9C"/>
    <w:rsid w:val="00FE7B6A"/>
    <w:rsid w:val="00FF7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7AD2F4C"/>
  <w15:docId w15:val="{A4131930-0A55-2B44-9194-F1D5AC0C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22E"/>
    <w:pPr>
      <w:jc w:val="both"/>
    </w:pPr>
    <w:rPr>
      <w:sz w:val="22"/>
    </w:rPr>
  </w:style>
  <w:style w:type="paragraph" w:styleId="Heading1">
    <w:name w:val="heading 1"/>
    <w:basedOn w:val="Normal"/>
    <w:next w:val="Normal"/>
    <w:qFormat/>
    <w:rsid w:val="004F259E"/>
    <w:pPr>
      <w:spacing w:before="240" w:after="120"/>
      <w:outlineLvl w:val="0"/>
    </w:pPr>
    <w:rPr>
      <w:b/>
      <w:szCs w:val="22"/>
      <w:lang w:val="id-ID"/>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jc w:val="center"/>
      <w:outlineLvl w:val="4"/>
    </w:pPr>
    <w:rPr>
      <w:i/>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outlineLvl w:val="6"/>
    </w:pPr>
    <w:rPr>
      <w:i/>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line="360" w:lineRule="auto"/>
      <w:ind w:left="426" w:firstLine="425"/>
    </w:pPr>
    <w:rPr>
      <w:sz w:val="24"/>
    </w:rPr>
  </w:style>
  <w:style w:type="paragraph" w:styleId="Title">
    <w:name w:val="Title"/>
    <w:basedOn w:val="Normal"/>
    <w:link w:val="TitleChar"/>
    <w:qFormat/>
    <w:rsid w:val="005251CA"/>
    <w:pPr>
      <w:spacing w:after="280"/>
      <w:jc w:val="center"/>
    </w:pPr>
    <w:rPr>
      <w:b/>
      <w:sz w:val="28"/>
      <w:szCs w:val="28"/>
      <w:lang w:val="id-ID"/>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Title"/>
    <w:qFormat/>
    <w:rsid w:val="00BD71AF"/>
    <w:pPr>
      <w:spacing w:before="280" w:after="120"/>
    </w:pPr>
    <w:rPr>
      <w:sz w:val="22"/>
      <w:szCs w:val="22"/>
    </w:rPr>
  </w:style>
  <w:style w:type="character" w:styleId="PageNumber">
    <w:name w:val="page number"/>
    <w:basedOn w:val="DefaultParagraphFont"/>
    <w:semiHidden/>
  </w:style>
  <w:style w:type="paragraph" w:styleId="BodyTextIndent2">
    <w:name w:val="Body Text Indent 2"/>
    <w:basedOn w:val="Normal"/>
    <w:semiHidden/>
    <w:pPr>
      <w:tabs>
        <w:tab w:val="left" w:pos="284"/>
        <w:tab w:val="left" w:pos="709"/>
      </w:tabs>
      <w:spacing w:line="480" w:lineRule="auto"/>
      <w:ind w:left="709" w:hanging="425"/>
    </w:pPr>
    <w:rPr>
      <w:sz w:val="24"/>
    </w:rPr>
  </w:style>
  <w:style w:type="paragraph" w:styleId="BodyTextIndent3">
    <w:name w:val="Body Text Indent 3"/>
    <w:basedOn w:val="Normal"/>
    <w:semiHidden/>
    <w:pPr>
      <w:ind w:left="714"/>
    </w:pPr>
    <w:rPr>
      <w:sz w:val="24"/>
    </w:rPr>
  </w:style>
  <w:style w:type="paragraph" w:styleId="BodyText">
    <w:name w:val="Body Text"/>
    <w:basedOn w:val="Normal"/>
    <w:semiHidden/>
    <w:rPr>
      <w:sz w:val="24"/>
    </w:rPr>
  </w:style>
  <w:style w:type="paragraph" w:styleId="BlockText">
    <w:name w:val="Block Text"/>
    <w:basedOn w:val="Normal"/>
    <w:semiHidden/>
    <w:pPr>
      <w:spacing w:line="480" w:lineRule="auto"/>
      <w:ind w:left="360" w:right="29" w:firstLine="858"/>
    </w:pPr>
    <w:rPr>
      <w:sz w:val="24"/>
      <w:lang w:val="id-ID"/>
    </w:rPr>
  </w:style>
  <w:style w:type="character" w:styleId="FootnoteReference">
    <w:name w:val="footnote reference"/>
    <w:semiHidden/>
    <w:rPr>
      <w:vertAlign w:val="superscript"/>
    </w:rPr>
  </w:style>
  <w:style w:type="paragraph" w:customStyle="1" w:styleId="Quotation">
    <w:name w:val="Quotation"/>
    <w:basedOn w:val="BodyText"/>
    <w:autoRedefine/>
    <w:pPr>
      <w:spacing w:before="200"/>
      <w:ind w:left="284"/>
    </w:pPr>
    <w:rPr>
      <w:sz w:val="22"/>
      <w:lang w:val="id-ID"/>
    </w:rPr>
  </w:style>
  <w:style w:type="paragraph" w:styleId="FootnoteText">
    <w:name w:val="footnote text"/>
    <w:basedOn w:val="Normal"/>
    <w:semiHidden/>
  </w:style>
  <w:style w:type="paragraph" w:customStyle="1" w:styleId="MTDisplayEquation">
    <w:name w:val="MTDisplayEquation"/>
    <w:basedOn w:val="BodyTextIndent"/>
    <w:pPr>
      <w:tabs>
        <w:tab w:val="center" w:pos="3940"/>
        <w:tab w:val="right" w:pos="7880"/>
      </w:tabs>
      <w:spacing w:line="480" w:lineRule="auto"/>
      <w:ind w:left="425" w:firstLine="0"/>
    </w:pPr>
  </w:style>
  <w:style w:type="paragraph" w:styleId="Caption">
    <w:name w:val="caption"/>
    <w:basedOn w:val="Normal"/>
    <w:next w:val="Normal"/>
    <w:qFormat/>
    <w:rsid w:val="00CE2F0B"/>
    <w:pPr>
      <w:spacing w:before="120"/>
      <w:jc w:val="center"/>
    </w:pPr>
    <w:rPr>
      <w:b/>
    </w:rPr>
  </w:style>
  <w:style w:type="paragraph" w:styleId="NormalWeb">
    <w:name w:val="Normal (Web)"/>
    <w:basedOn w:val="Normal"/>
    <w:uiPriority w:val="99"/>
    <w:pPr>
      <w:spacing w:before="100" w:after="100"/>
    </w:pPr>
    <w:rPr>
      <w:sz w:val="24"/>
    </w:rPr>
  </w:style>
  <w:style w:type="paragraph" w:styleId="BodyText2">
    <w:name w:val="Body Text 2"/>
    <w:basedOn w:val="Normal"/>
    <w:semiHidden/>
    <w:pPr>
      <w:spacing w:line="480" w:lineRule="auto"/>
    </w:pPr>
    <w:rPr>
      <w:sz w:val="24"/>
    </w:rPr>
  </w:style>
  <w:style w:type="paragraph" w:styleId="PlainText">
    <w:name w:val="Plain Text"/>
    <w:basedOn w:val="Normal"/>
    <w:semiHidden/>
    <w:rPr>
      <w:rFonts w:ascii="Courier New" w:hAnsi="Courier New"/>
    </w:rPr>
  </w:style>
  <w:style w:type="paragraph" w:styleId="BodyText3">
    <w:name w:val="Body Text 3"/>
    <w:basedOn w:val="Normal"/>
    <w:semiHidden/>
    <w:pPr>
      <w:tabs>
        <w:tab w:val="left" w:pos="720"/>
      </w:tabs>
    </w:pPr>
  </w:style>
  <w:style w:type="character" w:styleId="Emphasis">
    <w:name w:val="Emphasis"/>
    <w:uiPriority w:val="20"/>
    <w:qFormat/>
    <w:rPr>
      <w:i/>
      <w:iC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paragraph" w:customStyle="1" w:styleId="IsiBab">
    <w:name w:val="Isi Bab"/>
    <w:basedOn w:val="Normal"/>
    <w:pPr>
      <w:spacing w:line="475" w:lineRule="exact"/>
      <w:ind w:firstLine="720"/>
    </w:pPr>
    <w:rPr>
      <w:sz w:val="24"/>
    </w:rPr>
  </w:style>
  <w:style w:type="paragraph" w:customStyle="1" w:styleId="indent1">
    <w:name w:val="indent1"/>
    <w:basedOn w:val="Normal"/>
    <w:pPr>
      <w:spacing w:line="360" w:lineRule="atLeast"/>
      <w:ind w:firstLine="547"/>
    </w:pPr>
    <w:rPr>
      <w:rFonts w:ascii="Arial" w:hAnsi="Arial"/>
    </w:rPr>
  </w:style>
  <w:style w:type="character" w:styleId="Hyperlink">
    <w:name w:val="Hyperlink"/>
    <w:rPr>
      <w:color w:val="0000FF"/>
      <w:u w:val="single"/>
    </w:rPr>
  </w:style>
  <w:style w:type="character" w:styleId="CommentReference">
    <w:name w:val="annotation reference"/>
    <w:semiHidden/>
    <w:rPr>
      <w:sz w:val="16"/>
      <w:szCs w:val="16"/>
    </w:rPr>
  </w:style>
  <w:style w:type="paragraph" w:customStyle="1" w:styleId="xl24">
    <w:name w:val="xl24"/>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24"/>
      <w:szCs w:val="24"/>
    </w:rPr>
  </w:style>
  <w:style w:type="paragraph" w:styleId="NoSpacing">
    <w:name w:val="No Spacing"/>
    <w:link w:val="NoSpacingChar"/>
    <w:uiPriority w:val="1"/>
    <w:qFormat/>
    <w:rsid w:val="00F5014B"/>
    <w:pPr>
      <w:jc w:val="both"/>
    </w:pPr>
    <w:rPr>
      <w:rFonts w:ascii="Calibri" w:eastAsia="Calibri" w:hAnsi="Calibri"/>
      <w:sz w:val="22"/>
      <w:szCs w:val="22"/>
    </w:rPr>
  </w:style>
  <w:style w:type="paragraph" w:styleId="ListParagraph">
    <w:name w:val="List Paragraph"/>
    <w:aliases w:val="skripsi,Body Text Char1,Char Char2,List Paragraph2,List Paragraph1,Body of text"/>
    <w:basedOn w:val="Normal"/>
    <w:link w:val="ListParagraphChar"/>
    <w:uiPriority w:val="34"/>
    <w:qFormat/>
    <w:rsid w:val="00DE0B1A"/>
    <w:pPr>
      <w:spacing w:after="200" w:line="276" w:lineRule="auto"/>
      <w:ind w:left="720"/>
      <w:contextualSpacing/>
    </w:pPr>
    <w:rPr>
      <w:rFonts w:ascii="Calibri" w:eastAsia="Calibri" w:hAnsi="Calibri"/>
      <w:szCs w:val="22"/>
    </w:rPr>
  </w:style>
  <w:style w:type="paragraph" w:customStyle="1" w:styleId="TA">
    <w:name w:val="TA"/>
    <w:link w:val="TAChar"/>
    <w:qFormat/>
    <w:rsid w:val="00604DB0"/>
    <w:pPr>
      <w:ind w:firstLine="720"/>
      <w:jc w:val="both"/>
    </w:pPr>
    <w:rPr>
      <w:rFonts w:eastAsia="Calibri"/>
      <w:sz w:val="22"/>
      <w:szCs w:val="22"/>
    </w:rPr>
  </w:style>
  <w:style w:type="character" w:customStyle="1" w:styleId="TAChar">
    <w:name w:val="TA Char"/>
    <w:link w:val="TA"/>
    <w:rsid w:val="00604DB0"/>
    <w:rPr>
      <w:rFonts w:eastAsia="Calibri"/>
      <w:sz w:val="22"/>
      <w:szCs w:val="22"/>
    </w:rPr>
  </w:style>
  <w:style w:type="paragraph" w:customStyle="1" w:styleId="tabel">
    <w:name w:val="tabel"/>
    <w:basedOn w:val="NoSpacing"/>
    <w:link w:val="tabelChar"/>
    <w:qFormat/>
    <w:rsid w:val="00681C02"/>
    <w:pPr>
      <w:jc w:val="center"/>
    </w:pPr>
    <w:rPr>
      <w:rFonts w:ascii="Times New Roman" w:hAnsi="Times New Roman"/>
      <w:b/>
      <w:sz w:val="20"/>
    </w:rPr>
  </w:style>
  <w:style w:type="table" w:styleId="TableGrid">
    <w:name w:val="Table Grid"/>
    <w:basedOn w:val="TableNormal"/>
    <w:uiPriority w:val="59"/>
    <w:rsid w:val="00681C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rsid w:val="00681C02"/>
    <w:rPr>
      <w:rFonts w:ascii="Calibri" w:eastAsia="Calibri" w:hAnsi="Calibri"/>
      <w:sz w:val="22"/>
      <w:szCs w:val="22"/>
      <w:lang w:val="en-US" w:eastAsia="en-US" w:bidi="ar-SA"/>
    </w:rPr>
  </w:style>
  <w:style w:type="character" w:customStyle="1" w:styleId="tabelChar">
    <w:name w:val="tabel Char"/>
    <w:basedOn w:val="NoSpacingChar"/>
    <w:link w:val="tabel"/>
    <w:rsid w:val="00681C02"/>
    <w:rPr>
      <w:rFonts w:ascii="Calibri" w:eastAsia="Calibri" w:hAnsi="Calibri"/>
      <w:sz w:val="22"/>
      <w:szCs w:val="22"/>
      <w:lang w:val="en-US" w:eastAsia="en-US" w:bidi="ar-SA"/>
    </w:rPr>
  </w:style>
  <w:style w:type="character" w:customStyle="1" w:styleId="FooterChar">
    <w:name w:val="Footer Char"/>
    <w:basedOn w:val="DefaultParagraphFont"/>
    <w:link w:val="Footer"/>
    <w:uiPriority w:val="99"/>
    <w:rsid w:val="003C32D7"/>
  </w:style>
  <w:style w:type="character" w:customStyle="1" w:styleId="HeaderChar">
    <w:name w:val="Header Char"/>
    <w:basedOn w:val="DefaultParagraphFont"/>
    <w:link w:val="Header"/>
    <w:uiPriority w:val="99"/>
    <w:rsid w:val="00277581"/>
  </w:style>
  <w:style w:type="paragraph" w:styleId="BalloonText">
    <w:name w:val="Balloon Text"/>
    <w:basedOn w:val="Normal"/>
    <w:link w:val="BalloonTextChar"/>
    <w:uiPriority w:val="99"/>
    <w:semiHidden/>
    <w:unhideWhenUsed/>
    <w:rsid w:val="00913092"/>
    <w:rPr>
      <w:rFonts w:ascii="Tahoma" w:hAnsi="Tahoma" w:cs="Tahoma"/>
      <w:sz w:val="16"/>
      <w:szCs w:val="16"/>
    </w:rPr>
  </w:style>
  <w:style w:type="character" w:customStyle="1" w:styleId="BalloonTextChar">
    <w:name w:val="Balloon Text Char"/>
    <w:link w:val="BalloonText"/>
    <w:uiPriority w:val="99"/>
    <w:semiHidden/>
    <w:rsid w:val="00913092"/>
    <w:rPr>
      <w:rFonts w:ascii="Tahoma" w:hAnsi="Tahoma" w:cs="Tahoma"/>
      <w:sz w:val="16"/>
      <w:szCs w:val="16"/>
    </w:rPr>
  </w:style>
  <w:style w:type="character" w:customStyle="1" w:styleId="TitleChar">
    <w:name w:val="Title Char"/>
    <w:link w:val="Title"/>
    <w:rsid w:val="005251CA"/>
    <w:rPr>
      <w:b/>
      <w:sz w:val="28"/>
      <w:szCs w:val="28"/>
      <w:lang w:val="id-ID"/>
    </w:rPr>
  </w:style>
  <w:style w:type="character" w:styleId="Strong">
    <w:name w:val="Strong"/>
    <w:uiPriority w:val="22"/>
    <w:qFormat/>
    <w:rsid w:val="009C537E"/>
    <w:rPr>
      <w:b/>
      <w:bCs/>
    </w:rPr>
  </w:style>
  <w:style w:type="paragraph" w:styleId="CommentText">
    <w:name w:val="annotation text"/>
    <w:basedOn w:val="Normal"/>
    <w:link w:val="CommentTextChar"/>
    <w:uiPriority w:val="99"/>
    <w:semiHidden/>
    <w:unhideWhenUsed/>
    <w:rsid w:val="009C537E"/>
  </w:style>
  <w:style w:type="character" w:customStyle="1" w:styleId="CommentTextChar">
    <w:name w:val="Comment Text Char"/>
    <w:link w:val="CommentText"/>
    <w:uiPriority w:val="99"/>
    <w:semiHidden/>
    <w:rsid w:val="009C537E"/>
    <w:rPr>
      <w:lang w:val="en-US" w:eastAsia="en-US"/>
    </w:rPr>
  </w:style>
  <w:style w:type="paragraph" w:styleId="CommentSubject">
    <w:name w:val="annotation subject"/>
    <w:basedOn w:val="CommentText"/>
    <w:next w:val="CommentText"/>
    <w:link w:val="CommentSubjectChar"/>
    <w:uiPriority w:val="99"/>
    <w:semiHidden/>
    <w:unhideWhenUsed/>
    <w:rsid w:val="009C537E"/>
    <w:rPr>
      <w:b/>
      <w:bCs/>
    </w:rPr>
  </w:style>
  <w:style w:type="character" w:customStyle="1" w:styleId="CommentSubjectChar">
    <w:name w:val="Comment Subject Char"/>
    <w:link w:val="CommentSubject"/>
    <w:uiPriority w:val="99"/>
    <w:semiHidden/>
    <w:rsid w:val="009C537E"/>
    <w:rPr>
      <w:b/>
      <w:bCs/>
      <w:lang w:val="en-US" w:eastAsia="en-US"/>
    </w:r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B478B1"/>
    <w:rPr>
      <w:rFonts w:ascii="Calibri" w:eastAsia="Calibri" w:hAnsi="Calibri"/>
      <w:sz w:val="22"/>
      <w:szCs w:val="22"/>
    </w:rPr>
  </w:style>
  <w:style w:type="character" w:customStyle="1" w:styleId="st">
    <w:name w:val="st"/>
    <w:basedOn w:val="DefaultParagraphFont"/>
    <w:rsid w:val="000D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40494">
      <w:bodyDiv w:val="1"/>
      <w:marLeft w:val="0"/>
      <w:marRight w:val="0"/>
      <w:marTop w:val="0"/>
      <w:marBottom w:val="0"/>
      <w:divBdr>
        <w:top w:val="none" w:sz="0" w:space="0" w:color="auto"/>
        <w:left w:val="none" w:sz="0" w:space="0" w:color="auto"/>
        <w:bottom w:val="none" w:sz="0" w:space="0" w:color="auto"/>
        <w:right w:val="none" w:sz="0" w:space="0" w:color="auto"/>
      </w:divBdr>
    </w:div>
    <w:div w:id="194741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BA9C-F522-4A14-A468-34A0C02C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5537</Words>
  <Characters>31565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PENJADUALAN FLOWSHOP DENGAN ALGORITMA GENETIKA</vt:lpstr>
    </vt:vector>
  </TitlesOfParts>
  <Company>Perdana</Company>
  <LinksUpToDate>false</LinksUpToDate>
  <CharactersWithSpaces>37028</CharactersWithSpaces>
  <SharedDoc>false</SharedDoc>
  <HLinks>
    <vt:vector size="18" baseType="variant">
      <vt:variant>
        <vt:i4>5177372</vt:i4>
      </vt:variant>
      <vt:variant>
        <vt:i4>9</vt:i4>
      </vt:variant>
      <vt:variant>
        <vt:i4>0</vt:i4>
      </vt:variant>
      <vt:variant>
        <vt:i4>5</vt:i4>
      </vt:variant>
      <vt:variant>
        <vt:lpwstr>http://www.malang.ac.id/</vt:lpwstr>
      </vt:variant>
      <vt:variant>
        <vt:lpwstr/>
      </vt:variant>
      <vt:variant>
        <vt:i4>8060946</vt:i4>
      </vt:variant>
      <vt:variant>
        <vt:i4>3</vt:i4>
      </vt:variant>
      <vt:variant>
        <vt:i4>0</vt:i4>
      </vt:variant>
      <vt:variant>
        <vt:i4>5</vt:i4>
      </vt:variant>
      <vt:variant>
        <vt:lpwstr>mailto:2emaildua@domain.edu</vt:lpwstr>
      </vt:variant>
      <vt:variant>
        <vt:lpwstr/>
      </vt:variant>
      <vt:variant>
        <vt:i4>3407884</vt:i4>
      </vt:variant>
      <vt:variant>
        <vt:i4>0</vt:i4>
      </vt:variant>
      <vt:variant>
        <vt:i4>0</vt:i4>
      </vt:variant>
      <vt:variant>
        <vt:i4>5</vt:i4>
      </vt:variant>
      <vt:variant>
        <vt:lpwstr>mailto:emailsatu@domain.edu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PENJADUALAN FLOWSHOP DENGAN ALGORITMA GENETIKA</dc:title>
  <dc:creator>Tessa Vanina</dc:creator>
  <cp:lastModifiedBy>Hasmirati</cp:lastModifiedBy>
  <cp:revision>51</cp:revision>
  <cp:lastPrinted>2021-02-01T04:32:00Z</cp:lastPrinted>
  <dcterms:created xsi:type="dcterms:W3CDTF">2017-03-06T07:29:00Z</dcterms:created>
  <dcterms:modified xsi:type="dcterms:W3CDTF">2021-09-05T03:05:00Z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b860a97a-dd84-3f68-bd96-bb4406391054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